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60C97" w:rsidRPr="008A1FB2" w:rsidP="00060C97">
      <w:pPr>
        <w:ind w:left="-710" w:firstLine="695"/>
      </w:pPr>
      <w:r w:rsidRPr="008A1FB2">
        <w:rPr>
          <w:b/>
          <w:bCs/>
        </w:rPr>
        <w:t xml:space="preserve">Lancashire Enterprise Partnership Limited  </w:t>
      </w:r>
    </w:p>
    <w:p w:rsidR="00060C97" w:rsidRPr="008A1FB2" w:rsidP="00060C97">
      <w:pPr>
        <w:spacing w:after="0" w:line="256" w:lineRule="auto"/>
        <w:ind w:left="0" w:firstLine="0"/>
        <w:rPr>
          <w:b/>
          <w:bCs/>
        </w:rPr>
      </w:pPr>
      <w:r w:rsidRPr="008A1FB2">
        <w:rPr>
          <w:b/>
          <w:bCs/>
        </w:rPr>
        <w:t xml:space="preserve"> </w:t>
      </w:r>
    </w:p>
    <w:p w:rsidR="00060C97" w:rsidRPr="008A1FB2" w:rsidP="00060C97">
      <w:pPr>
        <w:spacing w:after="0" w:line="256" w:lineRule="auto"/>
        <w:ind w:left="0" w:firstLine="0"/>
        <w:rPr>
          <w:b/>
          <w:bCs/>
        </w:rPr>
      </w:pPr>
      <w:r w:rsidRPr="008A1FB2">
        <w:rPr>
          <w:b/>
        </w:rPr>
        <w:t>Private and Confidential: NO</w:t>
      </w:r>
      <w:r w:rsidRPr="008A1FB2">
        <w:rPr>
          <w:b/>
          <w:bCs/>
        </w:rPr>
        <w:t xml:space="preserve"> </w:t>
      </w:r>
    </w:p>
    <w:p w:rsidR="00060C97" w:rsidRPr="008A1FB2" w:rsidP="00060C97">
      <w:pPr>
        <w:spacing w:after="0" w:line="256" w:lineRule="auto"/>
        <w:ind w:left="0" w:firstLine="0"/>
      </w:pPr>
    </w:p>
    <w:p w:rsidR="00060C97" w:rsidRPr="008A1FB2" w:rsidP="00060C97">
      <w:r w:rsidRPr="008A1FB2">
        <w:rPr>
          <w:b/>
        </w:rPr>
        <w:t>Date:</w:t>
      </w:r>
      <w:r w:rsidRPr="008A1FB2">
        <w:t xml:space="preserve"> </w:t>
      </w:r>
      <w:r w:rsidRPr="008A1FB2">
        <w:fldChar w:fldCharType="begin"/>
      </w:r>
      <w:r w:rsidRPr="008A1FB2">
        <w:instrText xml:space="preserve"> DOCPROPERTY  MeetingDate  \* MERGEFORMAT </w:instrText>
      </w:r>
      <w:r w:rsidRPr="008A1FB2">
        <w:fldChar w:fldCharType="separate"/>
      </w:r>
      <w:r w:rsidRPr="008A1FB2">
        <w:t>Tuesday, 8 December 2020</w:t>
      </w:r>
      <w:r w:rsidRPr="008A1FB2">
        <w:fldChar w:fldCharType="end"/>
      </w:r>
    </w:p>
    <w:p w:rsidR="00060C97" w:rsidRPr="008A1FB2" w:rsidP="00060C97"/>
    <w:p w:rsidR="00060C97" w:rsidRPr="008A1FB2" w:rsidP="00060C97">
      <w:pPr>
        <w:rPr>
          <w:rFonts w:eastAsia="Times New Roman"/>
          <w:b/>
          <w:color w:val="auto"/>
        </w:rPr>
      </w:pPr>
      <w:r w:rsidRPr="008A1FB2">
        <w:rPr>
          <w:rFonts w:eastAsia="Times New Roman"/>
          <w:b/>
          <w:color w:val="auto"/>
        </w:rPr>
        <w:fldChar w:fldCharType="begin"/>
      </w:r>
      <w:r w:rsidRPr="008A1FB2">
        <w:rPr>
          <w:rFonts w:eastAsia="Times New Roman"/>
          <w:b/>
          <w:color w:val="auto"/>
        </w:rPr>
        <w:instrText xml:space="preserve"> DOCPROPERTY  IssueTitle  \* MERGEFORMAT </w:instrText>
      </w:r>
      <w:r w:rsidRPr="008A1FB2">
        <w:rPr>
          <w:rFonts w:eastAsia="Times New Roman"/>
          <w:b/>
          <w:color w:val="auto"/>
        </w:rPr>
        <w:fldChar w:fldCharType="separate"/>
      </w:r>
      <w:r w:rsidRPr="008A1FB2">
        <w:rPr>
          <w:rFonts w:eastAsia="Times New Roman"/>
          <w:b/>
          <w:color w:val="auto"/>
        </w:rPr>
        <w:t>LEP - Programmes Update Report</w:t>
      </w:r>
      <w:r w:rsidRPr="008A1FB2">
        <w:rPr>
          <w:rFonts w:eastAsia="Times New Roman"/>
          <w:b/>
          <w:color w:val="auto"/>
        </w:rPr>
        <w:fldChar w:fldCharType="end"/>
      </w:r>
    </w:p>
    <w:p w:rsidR="00060C97" w:rsidRPr="008A1FB2" w:rsidP="00060C97">
      <w:pPr>
        <w:ind w:left="0" w:firstLine="0"/>
      </w:pPr>
      <w:r>
        <w:t>(</w:t>
      </w:r>
      <w:r w:rsidRPr="008A1FB2">
        <w:t>Appendices 'A' to 'M'</w:t>
      </w:r>
      <w:r w:rsidRPr="008A1FB2">
        <w:t xml:space="preserve"> refers</w:t>
      </w:r>
      <w:r>
        <w:t>)</w:t>
      </w:r>
    </w:p>
    <w:p w:rsidR="00060C97" w:rsidRPr="008A1FB2" w:rsidP="00060C97">
      <w:pPr>
        <w:spacing w:after="0" w:line="256" w:lineRule="auto"/>
        <w:ind w:left="0" w:firstLine="0"/>
      </w:pPr>
    </w:p>
    <w:p w:rsidR="00060C97" w:rsidRPr="008A1FB2" w:rsidP="00060C97">
      <w:pPr>
        <w:ind w:right="-873"/>
        <w:jc w:val="both"/>
        <w:rPr>
          <w:b/>
        </w:rPr>
      </w:pPr>
      <w:r w:rsidRPr="008A1FB2">
        <w:rPr>
          <w:b/>
        </w:rPr>
        <w:t xml:space="preserve">Report Author: Anne-Mare Parkinson, </w:t>
      </w:r>
      <w:r>
        <w:fldChar w:fldCharType="begin"/>
      </w:r>
      <w:r>
        <w:instrText xml:space="preserve"> HYPERLINK "mailto:anne-marie.parkinson@lancashirelep.co.uk" </w:instrText>
      </w:r>
      <w:r>
        <w:fldChar w:fldCharType="separate"/>
      </w:r>
      <w:r w:rsidRPr="008A1FB2">
        <w:rPr>
          <w:rStyle w:val="Hyperlink"/>
          <w:b/>
        </w:rPr>
        <w:t>anne-marie.parkinson@lancashirelep.co.uk</w:t>
      </w:r>
      <w:r>
        <w:fldChar w:fldCharType="end"/>
      </w:r>
      <w:r w:rsidRPr="008A1FB2">
        <w:rPr>
          <w:b/>
        </w:rPr>
        <w:fldChar w:fldCharType="begin"/>
      </w:r>
      <w:r w:rsidRPr="008A1FB2">
        <w:rPr>
          <w:b/>
        </w:rPr>
        <w:instrText xml:space="preserve"> DOCPROPERTY  LeadOfficerTel  \* MERGEFORMAT </w:instrText>
      </w:r>
      <w:r w:rsidRPr="008A1FB2">
        <w:rPr>
          <w:b/>
        </w:rPr>
        <w:fldChar w:fldCharType="separate"/>
      </w:r>
      <w:r w:rsidRPr="008A1FB2">
        <w:rPr>
          <w:b/>
        </w:rPr>
        <w:fldChar w:fldCharType="end"/>
      </w:r>
    </w:p>
    <w:p w:rsidR="00060C97" w:rsidRPr="008A1FB2" w:rsidP="00060C97">
      <w:pPr>
        <w:ind w:right="-873"/>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AE0823">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060C97" w:rsidRPr="008A1FB2" w:rsidP="008A1FB2">
            <w:pPr>
              <w:keepNext/>
              <w:keepLines/>
              <w:spacing w:before="40" w:after="0"/>
              <w:ind w:left="0" w:firstLine="0"/>
              <w:jc w:val="both"/>
              <w:outlineLvl w:val="5"/>
              <w:rPr>
                <w:rFonts w:eastAsiaTheme="majorEastAsia"/>
                <w:b/>
                <w:color w:val="auto"/>
              </w:rPr>
            </w:pPr>
            <w:r>
              <w:rPr>
                <w:rFonts w:eastAsiaTheme="majorEastAsia"/>
                <w:b/>
                <w:color w:val="auto"/>
              </w:rPr>
              <w:t>E</w:t>
            </w:r>
            <w:r w:rsidRPr="008A1FB2">
              <w:rPr>
                <w:rFonts w:eastAsiaTheme="majorEastAsia"/>
                <w:b/>
                <w:color w:val="auto"/>
              </w:rPr>
              <w:t>xecutive Summary</w:t>
            </w:r>
          </w:p>
          <w:p w:rsidR="00060C97" w:rsidRPr="008A1FB2" w:rsidP="00AE0823">
            <w:pPr>
              <w:spacing w:after="0" w:line="240" w:lineRule="auto"/>
              <w:ind w:left="0" w:firstLine="0"/>
              <w:jc w:val="both"/>
              <w:rPr>
                <w:color w:val="auto"/>
                <w:lang w:eastAsia="en-US"/>
              </w:rPr>
            </w:pPr>
          </w:p>
          <w:p w:rsidR="00060C97" w:rsidRPr="008A1FB2" w:rsidP="00AE0823">
            <w:pPr>
              <w:ind w:left="0" w:firstLine="0"/>
              <w:jc w:val="both"/>
              <w:rPr>
                <w:color w:val="auto"/>
                <w:lang w:eastAsia="en-US"/>
              </w:rPr>
            </w:pPr>
            <w:r w:rsidRPr="008A1FB2">
              <w:rPr>
                <w:color w:val="auto"/>
              </w:rPr>
              <w:t xml:space="preserve">This report provides the </w:t>
            </w:r>
            <w:r w:rsidRPr="008A1FB2">
              <w:rPr>
                <w:bCs/>
                <w:color w:val="auto"/>
              </w:rPr>
              <w:t xml:space="preserve">Lancashire Enterprise Partnership (LEP) </w:t>
            </w:r>
            <w:r w:rsidRPr="008A1FB2">
              <w:rPr>
                <w:color w:val="auto"/>
              </w:rPr>
              <w:t>Board with high level updates for each of the LEP programmes.</w:t>
            </w:r>
          </w:p>
          <w:p w:rsidR="00060C97" w:rsidRPr="008A1FB2" w:rsidP="00AE0823">
            <w:pPr>
              <w:ind w:left="1080" w:firstLine="0"/>
              <w:contextualSpacing/>
              <w:jc w:val="both"/>
              <w:rPr>
                <w:bCs/>
                <w:color w:val="auto"/>
              </w:rPr>
            </w:pPr>
          </w:p>
          <w:p w:rsidR="00060C97" w:rsidRPr="008A1FB2" w:rsidP="00AE0823">
            <w:pPr>
              <w:spacing w:after="0" w:line="240" w:lineRule="auto"/>
              <w:ind w:left="0" w:firstLine="0"/>
              <w:jc w:val="both"/>
              <w:rPr>
                <w:b/>
                <w:bCs/>
                <w:color w:val="auto"/>
              </w:rPr>
            </w:pPr>
            <w:r w:rsidRPr="008A1FB2">
              <w:rPr>
                <w:b/>
                <w:bCs/>
                <w:color w:val="auto"/>
              </w:rPr>
              <w:t>Recommendation</w:t>
            </w:r>
          </w:p>
          <w:p w:rsidR="00060C97" w:rsidRPr="008A1FB2" w:rsidP="00AE0823">
            <w:pPr>
              <w:spacing w:after="0" w:line="240" w:lineRule="auto"/>
              <w:ind w:left="0" w:firstLine="0"/>
              <w:jc w:val="both"/>
              <w:rPr>
                <w:bCs/>
                <w:color w:val="auto"/>
              </w:rPr>
            </w:pPr>
          </w:p>
          <w:p w:rsidR="00060C97" w:rsidRPr="008A1FB2" w:rsidP="00AE0823">
            <w:pPr>
              <w:spacing w:after="0" w:line="240" w:lineRule="auto"/>
              <w:ind w:left="0" w:firstLine="0"/>
              <w:jc w:val="both"/>
              <w:rPr>
                <w:bCs/>
                <w:color w:val="auto"/>
              </w:rPr>
            </w:pPr>
            <w:r w:rsidRPr="008A1FB2">
              <w:rPr>
                <w:bCs/>
              </w:rPr>
              <w:t xml:space="preserve"> </w:t>
            </w:r>
            <w:r w:rsidRPr="008A1FB2">
              <w:rPr>
                <w:bCs/>
                <w:color w:val="auto"/>
              </w:rPr>
              <w:t>The Lancashire Enterprise Partnership (LEP) is asked to:</w:t>
            </w:r>
          </w:p>
          <w:p w:rsidR="00060C97" w:rsidRPr="008A1FB2" w:rsidP="00AE0823">
            <w:pPr>
              <w:spacing w:after="0" w:line="240" w:lineRule="auto"/>
              <w:ind w:left="0" w:firstLine="0"/>
              <w:jc w:val="both"/>
              <w:rPr>
                <w:bCs/>
                <w:color w:val="auto"/>
              </w:rPr>
            </w:pPr>
          </w:p>
          <w:p w:rsidR="008A1FB2" w:rsidRPr="008A1FB2" w:rsidP="008A1FB2">
            <w:pPr>
              <w:pStyle w:val="ListParagraph"/>
              <w:numPr>
                <w:ilvl w:val="0"/>
                <w:numId w:val="4"/>
              </w:numPr>
              <w:spacing w:after="0" w:line="240" w:lineRule="auto"/>
              <w:ind w:left="731" w:hanging="567"/>
              <w:jc w:val="both"/>
            </w:pPr>
            <w:r>
              <w:rPr>
                <w:bCs/>
                <w:color w:val="auto"/>
              </w:rPr>
              <w:t>N</w:t>
            </w:r>
            <w:r w:rsidRPr="008A1FB2">
              <w:rPr>
                <w:bCs/>
                <w:color w:val="auto"/>
              </w:rPr>
              <w:t>ote the contents of th</w:t>
            </w:r>
            <w:r>
              <w:rPr>
                <w:bCs/>
                <w:color w:val="auto"/>
              </w:rPr>
              <w:t>is report;</w:t>
            </w:r>
          </w:p>
          <w:p w:rsidR="008A1FB2" w:rsidP="008A1FB2">
            <w:pPr>
              <w:pStyle w:val="ListParagraph"/>
              <w:numPr>
                <w:ilvl w:val="0"/>
                <w:numId w:val="4"/>
              </w:numPr>
              <w:spacing w:after="0" w:line="240" w:lineRule="auto"/>
              <w:ind w:left="731" w:hanging="567"/>
              <w:jc w:val="both"/>
            </w:pPr>
            <w:r w:rsidRPr="008A1FB2">
              <w:t>Provide feedback in terms of changes / addit</w:t>
            </w:r>
            <w:r w:rsidRPr="008A1FB2">
              <w:t>ional content for future reports; and</w:t>
            </w:r>
          </w:p>
          <w:p w:rsidR="00060C97" w:rsidRPr="008A1FB2" w:rsidP="008A1FB2">
            <w:pPr>
              <w:pStyle w:val="ListParagraph"/>
              <w:numPr>
                <w:ilvl w:val="0"/>
                <w:numId w:val="4"/>
              </w:numPr>
              <w:spacing w:after="0" w:line="240" w:lineRule="auto"/>
              <w:ind w:left="731" w:hanging="567"/>
              <w:jc w:val="both"/>
            </w:pPr>
            <w:r w:rsidRPr="008A1FB2">
              <w:t>Provide feedback on the proposed Dashboard.</w:t>
            </w:r>
          </w:p>
          <w:p w:rsidR="00060C97" w:rsidRPr="008A1FB2" w:rsidP="00AE0823">
            <w:pPr>
              <w:pStyle w:val="ListParagraph"/>
            </w:pPr>
          </w:p>
        </w:tc>
      </w:tr>
    </w:tbl>
    <w:p w:rsidR="00060C97" w:rsidRPr="008A1FB2" w:rsidP="00060C97">
      <w:pPr>
        <w:jc w:val="both"/>
        <w:rPr>
          <w:b/>
        </w:rPr>
      </w:pPr>
    </w:p>
    <w:p w:rsidR="00060C97" w:rsidRPr="008A1FB2" w:rsidP="00060C97">
      <w:pPr>
        <w:pStyle w:val="ListParagraph"/>
        <w:spacing w:line="240" w:lineRule="auto"/>
        <w:ind w:left="0" w:firstLine="0"/>
        <w:jc w:val="both"/>
        <w:rPr>
          <w:b/>
        </w:rPr>
      </w:pPr>
      <w:r w:rsidRPr="008A1FB2">
        <w:rPr>
          <w:b/>
        </w:rPr>
        <w:t>Background and Advice</w:t>
      </w:r>
    </w:p>
    <w:p w:rsidR="00060C97" w:rsidRPr="008A1FB2" w:rsidP="00060C97">
      <w:pPr>
        <w:pStyle w:val="ListParagraph"/>
        <w:spacing w:after="0" w:line="240" w:lineRule="auto"/>
        <w:ind w:left="956" w:firstLine="0"/>
        <w:jc w:val="both"/>
        <w:rPr>
          <w:bCs/>
          <w:color w:val="auto"/>
        </w:rPr>
      </w:pPr>
    </w:p>
    <w:p w:rsidR="00060C97" w:rsidRPr="008A1FB2" w:rsidP="00060C97">
      <w:pPr>
        <w:ind w:left="0" w:firstLine="0"/>
        <w:jc w:val="both"/>
      </w:pPr>
      <w:r w:rsidRPr="008A1FB2">
        <w:t xml:space="preserve">The purpose of this report is to provide Members of the Board with a single high-level programme report, including an update on each of the LEP programmes, with the aim to: </w:t>
      </w:r>
    </w:p>
    <w:p w:rsidR="00060C97" w:rsidRPr="008A1FB2" w:rsidP="00060C97">
      <w:pPr>
        <w:ind w:left="0" w:firstLine="0"/>
        <w:jc w:val="both"/>
      </w:pPr>
    </w:p>
    <w:p w:rsidR="00060C97" w:rsidRPr="008A1FB2" w:rsidP="00060C97">
      <w:pPr>
        <w:pStyle w:val="ListParagraph"/>
        <w:numPr>
          <w:ilvl w:val="0"/>
          <w:numId w:val="5"/>
        </w:numPr>
        <w:jc w:val="both"/>
      </w:pPr>
      <w:r w:rsidRPr="008A1FB2">
        <w:t>Provide regular and consistent updates across all programmes, which can be used w</w:t>
      </w:r>
      <w:r w:rsidRPr="008A1FB2">
        <w:t>hen Members are promoting / engaging / conducting LEP business.</w:t>
      </w:r>
    </w:p>
    <w:p w:rsidR="00060C97" w:rsidRPr="008A1FB2" w:rsidP="00060C97">
      <w:pPr>
        <w:pStyle w:val="ListParagraph"/>
        <w:numPr>
          <w:ilvl w:val="0"/>
          <w:numId w:val="5"/>
        </w:numPr>
        <w:jc w:val="both"/>
      </w:pPr>
      <w:r w:rsidRPr="008A1FB2">
        <w:t xml:space="preserve">Recognise, appreciate and explore the synergies / linkages between programmes to allow a more holistic delivery model. </w:t>
      </w:r>
    </w:p>
    <w:p w:rsidR="00060C97" w:rsidRPr="008A1FB2" w:rsidP="00060C97">
      <w:pPr>
        <w:pStyle w:val="ListParagraph"/>
        <w:numPr>
          <w:ilvl w:val="0"/>
          <w:numId w:val="5"/>
        </w:numPr>
        <w:jc w:val="both"/>
      </w:pPr>
      <w:r w:rsidRPr="008A1FB2">
        <w:t>Allow members to make individual programme decisions in the context of t</w:t>
      </w:r>
      <w:r w:rsidRPr="008A1FB2">
        <w:t>he complete portfolio of Programmes.</w:t>
      </w:r>
    </w:p>
    <w:p w:rsidR="00060C97" w:rsidRPr="008A1FB2" w:rsidP="00060C97">
      <w:pPr>
        <w:pStyle w:val="ListParagraph"/>
        <w:numPr>
          <w:ilvl w:val="0"/>
          <w:numId w:val="5"/>
        </w:numPr>
        <w:jc w:val="both"/>
      </w:pPr>
      <w:r w:rsidRPr="008A1FB2">
        <w:t>Assurance of the Performance of individual programmes for which the LEP is accountable to government for.</w:t>
      </w:r>
    </w:p>
    <w:p w:rsidR="00060C97" w:rsidRPr="008A1FB2" w:rsidP="00060C97">
      <w:pPr>
        <w:pStyle w:val="ListParagraph"/>
        <w:numPr>
          <w:ilvl w:val="0"/>
          <w:numId w:val="5"/>
        </w:numPr>
        <w:jc w:val="both"/>
      </w:pPr>
      <w:r w:rsidRPr="008A1FB2">
        <w:t>Identify any programme risks and agree remedial actions.</w:t>
      </w:r>
    </w:p>
    <w:p w:rsidR="00060C97" w:rsidRPr="008A1FB2" w:rsidP="00060C97">
      <w:pPr>
        <w:ind w:left="0" w:firstLine="0"/>
        <w:jc w:val="both"/>
      </w:pPr>
    </w:p>
    <w:p w:rsidR="00060C97" w:rsidRPr="008A1FB2" w:rsidP="00060C97">
      <w:pPr>
        <w:ind w:left="0" w:firstLine="0"/>
        <w:jc w:val="both"/>
        <w:rPr>
          <w:b/>
        </w:rPr>
      </w:pPr>
      <w:r w:rsidRPr="008A1FB2">
        <w:rPr>
          <w:b/>
        </w:rPr>
        <w:t xml:space="preserve">Programme Reports </w:t>
      </w:r>
    </w:p>
    <w:p w:rsidR="00060C97" w:rsidRPr="008A1FB2" w:rsidP="00060C97">
      <w:pPr>
        <w:ind w:left="0" w:firstLine="0"/>
        <w:jc w:val="both"/>
      </w:pPr>
    </w:p>
    <w:p w:rsidR="00060C97" w:rsidRPr="008A1FB2" w:rsidP="00060C97">
      <w:pPr>
        <w:ind w:left="0" w:firstLine="0"/>
        <w:jc w:val="both"/>
      </w:pPr>
      <w:r w:rsidRPr="008A1FB2">
        <w:t xml:space="preserve">Please find attached at Appendices </w:t>
      </w:r>
      <w:r w:rsidRPr="008A1FB2">
        <w:t>A–</w:t>
      </w:r>
      <w:r>
        <w:t>K</w:t>
      </w:r>
      <w:r w:rsidRPr="008A1FB2">
        <w:t xml:space="preserve"> updates for each of the LEP programmes as detailed below:</w:t>
      </w:r>
    </w:p>
    <w:p w:rsidR="00060C97" w:rsidRPr="008A1FB2" w:rsidP="00060C97">
      <w:pPr>
        <w:pStyle w:val="ListParagraph"/>
        <w:spacing w:line="247" w:lineRule="auto"/>
        <w:ind w:left="360" w:firstLine="0"/>
        <w:jc w:val="both"/>
        <w:rPr>
          <w:rFonts w:eastAsiaTheme="minorHAnsi"/>
          <w:color w:val="auto"/>
        </w:rPr>
      </w:pPr>
    </w:p>
    <w:p w:rsidR="00060C97" w:rsidRPr="008A1FB2" w:rsidP="00060C97">
      <w:pPr>
        <w:pStyle w:val="ListParagraph"/>
        <w:numPr>
          <w:ilvl w:val="0"/>
          <w:numId w:val="8"/>
        </w:numPr>
        <w:spacing w:line="247" w:lineRule="auto"/>
        <w:jc w:val="both"/>
        <w:rPr>
          <w:rFonts w:eastAsiaTheme="minorHAnsi"/>
          <w:color w:val="auto"/>
        </w:rPr>
      </w:pPr>
      <w:r w:rsidRPr="008A1FB2">
        <w:t xml:space="preserve">Boost – Lancashire Business Growth Hub </w:t>
      </w:r>
    </w:p>
    <w:p w:rsidR="00060C97" w:rsidRPr="008A1FB2" w:rsidP="00060C97">
      <w:pPr>
        <w:pStyle w:val="ListParagraph"/>
        <w:numPr>
          <w:ilvl w:val="0"/>
          <w:numId w:val="6"/>
        </w:numPr>
        <w:spacing w:after="0" w:line="240" w:lineRule="auto"/>
      </w:pPr>
      <w:r w:rsidRPr="008A1FB2">
        <w:t xml:space="preserve">City Deal </w:t>
      </w:r>
    </w:p>
    <w:p w:rsidR="00060C97" w:rsidRPr="008A1FB2" w:rsidP="00060C97">
      <w:pPr>
        <w:pStyle w:val="ListParagraph"/>
        <w:numPr>
          <w:ilvl w:val="0"/>
          <w:numId w:val="6"/>
        </w:numPr>
        <w:jc w:val="both"/>
      </w:pPr>
      <w:r w:rsidRPr="008A1FB2">
        <w:t>Enterprise Zones X 4</w:t>
      </w:r>
    </w:p>
    <w:p w:rsidR="00060C97" w:rsidRPr="008A1FB2" w:rsidP="00060C97">
      <w:pPr>
        <w:pStyle w:val="ListParagraph"/>
        <w:numPr>
          <w:ilvl w:val="0"/>
          <w:numId w:val="6"/>
        </w:numPr>
        <w:spacing w:after="0" w:line="240" w:lineRule="auto"/>
        <w:contextualSpacing w:val="0"/>
      </w:pPr>
      <w:r w:rsidRPr="008A1FB2">
        <w:t>Getting Building Fund</w:t>
      </w:r>
    </w:p>
    <w:p w:rsidR="00060C97" w:rsidRPr="008A1FB2" w:rsidP="00060C97">
      <w:pPr>
        <w:pStyle w:val="ListParagraph"/>
        <w:numPr>
          <w:ilvl w:val="0"/>
          <w:numId w:val="6"/>
        </w:numPr>
        <w:spacing w:after="0" w:line="240" w:lineRule="auto"/>
        <w:contextualSpacing w:val="0"/>
      </w:pPr>
      <w:r w:rsidRPr="008A1FB2">
        <w:t xml:space="preserve">Growing Places </w:t>
      </w:r>
    </w:p>
    <w:p w:rsidR="00060C97" w:rsidRPr="008A1FB2" w:rsidP="00060C97">
      <w:pPr>
        <w:pStyle w:val="ListParagraph"/>
        <w:numPr>
          <w:ilvl w:val="0"/>
          <w:numId w:val="6"/>
        </w:numPr>
        <w:spacing w:after="0" w:line="240" w:lineRule="auto"/>
        <w:contextualSpacing w:val="0"/>
      </w:pPr>
      <w:r w:rsidRPr="008A1FB2">
        <w:t>Growth Deal</w:t>
      </w:r>
    </w:p>
    <w:p w:rsidR="00060C97" w:rsidRPr="008A1FB2" w:rsidP="00060C97">
      <w:pPr>
        <w:pStyle w:val="ListParagraph"/>
        <w:numPr>
          <w:ilvl w:val="0"/>
          <w:numId w:val="6"/>
        </w:numPr>
        <w:spacing w:after="0" w:line="240" w:lineRule="auto"/>
        <w:contextualSpacing w:val="0"/>
      </w:pPr>
      <w:r w:rsidRPr="008A1FB2">
        <w:t xml:space="preserve">Lancashire Skills and Employment Hub </w:t>
      </w:r>
    </w:p>
    <w:p w:rsidR="00060C97" w:rsidRPr="008A1FB2" w:rsidP="00060C97">
      <w:pPr>
        <w:pStyle w:val="ListParagraph"/>
        <w:numPr>
          <w:ilvl w:val="0"/>
          <w:numId w:val="6"/>
        </w:numPr>
        <w:spacing w:after="0" w:line="240" w:lineRule="auto"/>
        <w:contextualSpacing w:val="0"/>
      </w:pPr>
      <w:r w:rsidRPr="008A1FB2">
        <w:t>Social Value</w:t>
      </w:r>
    </w:p>
    <w:p w:rsidR="00060C97" w:rsidRPr="008A1FB2" w:rsidP="00060C97">
      <w:pPr>
        <w:rPr>
          <w:b/>
          <w:i/>
        </w:rPr>
      </w:pPr>
    </w:p>
    <w:p w:rsidR="00060C97" w:rsidRPr="008A1FB2" w:rsidP="00060C97">
      <w:pPr>
        <w:rPr>
          <w:b/>
          <w:i/>
        </w:rPr>
      </w:pPr>
      <w:r w:rsidRPr="008A1FB2">
        <w:rPr>
          <w:b/>
          <w:i/>
        </w:rPr>
        <w:t>Performance</w:t>
      </w:r>
    </w:p>
    <w:p w:rsidR="00060C97" w:rsidRPr="008A1FB2" w:rsidP="00060C97">
      <w:pPr>
        <w:rPr>
          <w:b/>
          <w:i/>
        </w:rPr>
      </w:pPr>
    </w:p>
    <w:p w:rsidR="00060C97" w:rsidRPr="008A1FB2" w:rsidP="00060C97">
      <w:pPr>
        <w:spacing w:after="0" w:line="240" w:lineRule="auto"/>
        <w:ind w:left="0" w:firstLine="0"/>
        <w:jc w:val="both"/>
      </w:pPr>
      <w:r w:rsidRPr="008A1FB2">
        <w:t xml:space="preserve">At </w:t>
      </w:r>
      <w:r w:rsidRPr="008A1FB2">
        <w:t xml:space="preserve">a previous meeting of LEP Board, Members provided feedback in terms of the content of future reports in respect to the following two areas: </w:t>
      </w:r>
    </w:p>
    <w:p w:rsidR="00060C97" w:rsidRPr="008A1FB2" w:rsidP="00060C97">
      <w:pPr>
        <w:pStyle w:val="NormalNumbered"/>
        <w:rPr>
          <w:rFonts w:cs="Arial"/>
          <w:sz w:val="24"/>
          <w:u w:val="single"/>
        </w:rPr>
      </w:pPr>
      <w:r w:rsidRPr="008A1FB2">
        <w:rPr>
          <w:rFonts w:cs="Arial"/>
          <w:sz w:val="24"/>
          <w:u w:val="single"/>
        </w:rPr>
        <w:t>Key Performance Indicators (KPIs)</w:t>
      </w:r>
    </w:p>
    <w:p w:rsidR="00060C97" w:rsidRPr="008A1FB2" w:rsidP="00060C97">
      <w:pPr>
        <w:pStyle w:val="NormalNumbered"/>
        <w:rPr>
          <w:rFonts w:cs="Arial"/>
          <w:sz w:val="24"/>
        </w:rPr>
      </w:pPr>
      <w:r w:rsidRPr="008A1FB2">
        <w:rPr>
          <w:rFonts w:cs="Arial"/>
          <w:sz w:val="24"/>
        </w:rPr>
        <w:t xml:space="preserve">At the last meeting of the Board, Members received a draft document of core KPIs. The document was intended to start the process for the identification of LEP KPIs, which would reflect the ambitions of the LEP, going beyond purely programme KPIs. </w:t>
      </w:r>
    </w:p>
    <w:p w:rsidR="000345AD" w:rsidRPr="008A1FB2" w:rsidP="00060C97">
      <w:pPr>
        <w:pStyle w:val="NormalNumbered"/>
        <w:rPr>
          <w:rFonts w:cs="Arial"/>
          <w:sz w:val="24"/>
        </w:rPr>
      </w:pPr>
      <w:r w:rsidRPr="008A1FB2">
        <w:rPr>
          <w:rFonts w:cs="Arial"/>
          <w:sz w:val="24"/>
        </w:rPr>
        <w:t>The revi</w:t>
      </w:r>
      <w:r w:rsidRPr="008A1FB2">
        <w:rPr>
          <w:rFonts w:cs="Arial"/>
          <w:sz w:val="24"/>
        </w:rPr>
        <w:t>ew of KPIs will also include the development of a LEP Social Value Charter, of which the principles, objectives and measures will be embedded within programme management and reporting.</w:t>
      </w:r>
    </w:p>
    <w:p w:rsidR="00060C97" w:rsidRPr="008A1FB2" w:rsidP="00060C97">
      <w:pPr>
        <w:pStyle w:val="NormalNumbered"/>
        <w:rPr>
          <w:rFonts w:cs="Arial"/>
          <w:sz w:val="24"/>
        </w:rPr>
      </w:pPr>
      <w:r w:rsidRPr="008A1FB2">
        <w:rPr>
          <w:rFonts w:cs="Arial"/>
          <w:sz w:val="24"/>
        </w:rPr>
        <w:t>The next step in terms of finalising a set of core KPIs, is the complet</w:t>
      </w:r>
      <w:r w:rsidRPr="008A1FB2">
        <w:rPr>
          <w:rFonts w:cs="Arial"/>
          <w:sz w:val="24"/>
        </w:rPr>
        <w:t>ion of the KPI review of programmes, in consideration / context of the LEP Strategic Framework. An update with be provided to a future meeting of the LEP Board.</w:t>
      </w:r>
    </w:p>
    <w:p w:rsidR="00060C97" w:rsidRPr="008A1FB2" w:rsidP="00060C97">
      <w:pPr>
        <w:pStyle w:val="NormalNumbered"/>
        <w:rPr>
          <w:rFonts w:cs="Arial"/>
          <w:sz w:val="24"/>
          <w:u w:val="single"/>
        </w:rPr>
      </w:pPr>
      <w:r w:rsidRPr="008A1FB2">
        <w:rPr>
          <w:rFonts w:cs="Arial"/>
          <w:sz w:val="24"/>
          <w:u w:val="single"/>
        </w:rPr>
        <w:t>Dash Board</w:t>
      </w:r>
    </w:p>
    <w:p w:rsidR="00060C97" w:rsidRPr="008A1FB2" w:rsidP="00060C97">
      <w:pPr>
        <w:pStyle w:val="NormalNumbered"/>
        <w:rPr>
          <w:rFonts w:cs="Arial"/>
          <w:sz w:val="24"/>
        </w:rPr>
      </w:pPr>
      <w:r w:rsidRPr="008A1FB2">
        <w:rPr>
          <w:rFonts w:cs="Arial"/>
          <w:sz w:val="24"/>
        </w:rPr>
        <w:t>Members requested that the Programme Manger explore the potential to develop a combi</w:t>
      </w:r>
      <w:r w:rsidRPr="008A1FB2">
        <w:rPr>
          <w:rFonts w:cs="Arial"/>
          <w:sz w:val="24"/>
        </w:rPr>
        <w:t xml:space="preserve">ned programmes single dashboard of KPIs.  </w:t>
      </w:r>
    </w:p>
    <w:p w:rsidR="00060C97" w:rsidRPr="008A1FB2" w:rsidP="00060C97">
      <w:pPr>
        <w:pStyle w:val="NormalNumbered"/>
        <w:rPr>
          <w:rFonts w:cs="Arial"/>
          <w:sz w:val="24"/>
        </w:rPr>
      </w:pPr>
      <w:r w:rsidRPr="008A1FB2">
        <w:rPr>
          <w:rFonts w:cs="Arial"/>
          <w:sz w:val="24"/>
        </w:rPr>
        <w:t>Please find attached at Appendix L a draft Dashboard which has been developed initially from Growth Deal Programme KPIs data, providing Members with the opportunity to provide feedback in terms of format, prior to</w:t>
      </w:r>
      <w:r w:rsidRPr="008A1FB2">
        <w:rPr>
          <w:rFonts w:cs="Arial"/>
          <w:sz w:val="24"/>
        </w:rPr>
        <w:t xml:space="preserve"> the development into a single combined dashboard for all programmes, upon conclusion of the KPI review. Early findings of the review suggest the following KPIs, which reflect both the strategic direction and programme delivery, would be appropriate to inc</w:t>
      </w:r>
      <w:r w:rsidRPr="008A1FB2">
        <w:rPr>
          <w:rFonts w:cs="Arial"/>
          <w:sz w:val="24"/>
        </w:rPr>
        <w:t>lude in the dashboard:</w:t>
      </w:r>
    </w:p>
    <w:p w:rsidR="00060C97" w:rsidRPr="008A1FB2" w:rsidP="00060C97">
      <w:pPr>
        <w:pStyle w:val="NoSpacing"/>
        <w:numPr>
          <w:ilvl w:val="0"/>
          <w:numId w:val="7"/>
        </w:numPr>
      </w:pPr>
      <w:r w:rsidRPr="008A1FB2">
        <w:t xml:space="preserve">£m Private / Public Sector Investment </w:t>
      </w:r>
    </w:p>
    <w:p w:rsidR="00060C97" w:rsidRPr="008A1FB2" w:rsidP="00060C97">
      <w:pPr>
        <w:pStyle w:val="NoSpacing"/>
        <w:numPr>
          <w:ilvl w:val="0"/>
          <w:numId w:val="7"/>
        </w:numPr>
      </w:pPr>
      <w:r w:rsidRPr="008A1FB2">
        <w:t xml:space="preserve">Geographical - Investment / Impact / Projects </w:t>
      </w:r>
    </w:p>
    <w:p w:rsidR="00060C97" w:rsidRPr="008A1FB2" w:rsidP="00060C97">
      <w:pPr>
        <w:pStyle w:val="NoSpacing"/>
        <w:numPr>
          <w:ilvl w:val="0"/>
          <w:numId w:val="7"/>
        </w:numPr>
      </w:pPr>
      <w:r w:rsidRPr="008A1FB2">
        <w:t xml:space="preserve">Strategic Alignment (Strategic Framework) </w:t>
      </w:r>
    </w:p>
    <w:p w:rsidR="00060C97" w:rsidRPr="008A1FB2" w:rsidP="00060C97">
      <w:pPr>
        <w:pStyle w:val="NoSpacing"/>
        <w:numPr>
          <w:ilvl w:val="0"/>
          <w:numId w:val="7"/>
        </w:numPr>
      </w:pPr>
      <w:r w:rsidRPr="008A1FB2">
        <w:t>Partner Engagement</w:t>
      </w:r>
    </w:p>
    <w:p w:rsidR="00060C97" w:rsidRPr="008A1FB2" w:rsidP="00060C97">
      <w:pPr>
        <w:pStyle w:val="NoSpacing"/>
        <w:numPr>
          <w:ilvl w:val="0"/>
          <w:numId w:val="7"/>
        </w:numPr>
        <w:ind w:right="-188"/>
      </w:pPr>
      <w:r w:rsidRPr="008A1FB2">
        <w:t xml:space="preserve">Outputs (Jobs, Housing, Learners, Infrastructure, Commercial / Learning floor space, </w:t>
      </w:r>
      <w:r w:rsidRPr="008A1FB2">
        <w:t>Businesses Assisted)</w:t>
      </w:r>
    </w:p>
    <w:p w:rsidR="00060C97" w:rsidRPr="008A1FB2" w:rsidP="00060C97">
      <w:pPr>
        <w:pStyle w:val="NoSpacing"/>
        <w:numPr>
          <w:ilvl w:val="0"/>
          <w:numId w:val="7"/>
        </w:numPr>
        <w:ind w:right="-188"/>
      </w:pPr>
      <w:r w:rsidRPr="008A1FB2">
        <w:t xml:space="preserve">Social and Economic Value Impact £m </w:t>
      </w:r>
    </w:p>
    <w:p w:rsidR="00060C97" w:rsidRPr="008A1FB2" w:rsidP="00060C97">
      <w:pPr>
        <w:pStyle w:val="NoSpacing"/>
        <w:numPr>
          <w:ilvl w:val="0"/>
          <w:numId w:val="7"/>
        </w:numPr>
      </w:pPr>
      <w:r w:rsidRPr="008A1FB2">
        <w:t>Risk</w:t>
      </w:r>
    </w:p>
    <w:p w:rsidR="008A1FB2" w:rsidRPr="008A1FB2" w:rsidP="00060C97">
      <w:pPr>
        <w:pStyle w:val="NormalNumbered"/>
        <w:rPr>
          <w:rFonts w:cs="Arial"/>
          <w:sz w:val="24"/>
        </w:rPr>
      </w:pPr>
      <w:r w:rsidRPr="008A1FB2">
        <w:rPr>
          <w:rFonts w:cs="Arial"/>
          <w:sz w:val="24"/>
        </w:rPr>
        <w:t xml:space="preserve">Feedback is sought from Members to establish whether the draft dashboard format at Appendix L, together with the proposed KPIs headings as detailed above, reflect </w:t>
      </w:r>
      <w:r w:rsidRPr="008A1FB2">
        <w:rPr>
          <w:rFonts w:cs="Arial"/>
          <w:sz w:val="24"/>
        </w:rPr>
        <w:t>Members aspirations in terms o</w:t>
      </w:r>
      <w:r w:rsidRPr="008A1FB2">
        <w:rPr>
          <w:rFonts w:cs="Arial"/>
          <w:sz w:val="24"/>
        </w:rPr>
        <w:t xml:space="preserve">f the creation of a single combined programme dashboard. </w:t>
      </w:r>
    </w:p>
    <w:p w:rsidR="00060C97" w:rsidRPr="008A1FB2" w:rsidP="00060C97">
      <w:pPr>
        <w:pStyle w:val="NormalNumbered"/>
        <w:rPr>
          <w:rFonts w:cs="Arial"/>
          <w:sz w:val="24"/>
          <w:u w:val="single"/>
        </w:rPr>
      </w:pPr>
      <w:r w:rsidRPr="008A1FB2">
        <w:rPr>
          <w:rFonts w:cs="Arial"/>
          <w:sz w:val="24"/>
          <w:u w:val="single"/>
        </w:rPr>
        <w:t>KPI Performance - Actuals v Targets – as reported November 2020</w:t>
      </w:r>
    </w:p>
    <w:p w:rsidR="00666728" w:rsidRPr="008A1FB2" w:rsidP="00FA1AA0">
      <w:pPr>
        <w:pStyle w:val="NormalNumbered"/>
        <w:rPr>
          <w:rFonts w:cs="Arial"/>
          <w:sz w:val="24"/>
        </w:rPr>
      </w:pPr>
      <w:r w:rsidRPr="008A1FB2">
        <w:rPr>
          <w:rFonts w:cs="Arial"/>
          <w:sz w:val="24"/>
        </w:rPr>
        <w:t xml:space="preserve">The table below contains the combined current core KPIs for all the LEP programmes as sourced from the individual reports (Appendices </w:t>
      </w:r>
      <w:r w:rsidRPr="008A1FB2">
        <w:rPr>
          <w:rFonts w:cs="Arial"/>
          <w:sz w:val="24"/>
        </w:rPr>
        <w:t>A-</w:t>
      </w:r>
      <w:r w:rsidRPr="008A1FB2">
        <w:rPr>
          <w:rFonts w:cs="Arial"/>
          <w:sz w:val="24"/>
        </w:rPr>
        <w:t>K</w:t>
      </w:r>
      <w:r w:rsidRPr="008A1FB2">
        <w:rPr>
          <w:rFonts w:cs="Arial"/>
          <w:sz w:val="24"/>
        </w:rPr>
        <w:t xml:space="preserve">). </w:t>
      </w:r>
    </w:p>
    <w:tbl>
      <w:tblPr>
        <w:tblW w:w="9204" w:type="dxa"/>
        <w:tblLook w:val="04A0"/>
      </w:tblPr>
      <w:tblGrid>
        <w:gridCol w:w="5802"/>
        <w:gridCol w:w="1190"/>
        <w:gridCol w:w="1084"/>
        <w:gridCol w:w="1128"/>
      </w:tblGrid>
      <w:tr w:rsidTr="00D944BE">
        <w:tblPrEx>
          <w:tblW w:w="9204" w:type="dxa"/>
          <w:tblLook w:val="04A0"/>
        </w:tblPrEx>
        <w:trPr>
          <w:trHeight w:val="300"/>
        </w:trPr>
        <w:tc>
          <w:tcPr>
            <w:tcW w:w="5802" w:type="dxa"/>
            <w:tcBorders>
              <w:top w:val="single" w:sz="8" w:space="0" w:color="auto"/>
              <w:left w:val="single" w:sz="8" w:space="0" w:color="auto"/>
              <w:bottom w:val="single" w:sz="8" w:space="0" w:color="auto"/>
              <w:right w:val="nil"/>
            </w:tcBorders>
            <w:shd w:val="clear" w:color="000000" w:fill="FFFFFF"/>
            <w:vAlign w:val="bottom"/>
          </w:tcPr>
          <w:p w:rsidR="00FA1AA0" w:rsidRPr="008A1FB2" w:rsidP="00FA1AA0">
            <w:pPr>
              <w:spacing w:after="0" w:line="240" w:lineRule="auto"/>
              <w:ind w:left="0" w:firstLine="0"/>
              <w:rPr>
                <w:rFonts w:eastAsia="Times New Roman"/>
                <w:b/>
                <w:bCs/>
              </w:rPr>
            </w:pPr>
            <w:r w:rsidRPr="008A1FB2">
              <w:rPr>
                <w:rFonts w:eastAsia="Times New Roman"/>
                <w:b/>
                <w:bCs/>
              </w:rPr>
              <w:t>Key Performance Indicator - Programmes Combined</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A1AA0" w:rsidRPr="008A1FB2" w:rsidP="00FA1AA0">
            <w:pPr>
              <w:spacing w:after="0" w:line="240" w:lineRule="auto"/>
              <w:ind w:left="0" w:firstLine="0"/>
              <w:jc w:val="center"/>
              <w:rPr>
                <w:rFonts w:eastAsia="Times New Roman"/>
                <w:b/>
                <w:bCs/>
              </w:rPr>
            </w:pPr>
            <w:r w:rsidRPr="008A1FB2">
              <w:rPr>
                <w:rFonts w:eastAsia="Times New Roman"/>
                <w:b/>
                <w:bCs/>
              </w:rPr>
              <w:t>Actuals</w:t>
            </w:r>
          </w:p>
        </w:tc>
        <w:tc>
          <w:tcPr>
            <w:tcW w:w="1084" w:type="dxa"/>
            <w:tcBorders>
              <w:top w:val="single" w:sz="8" w:space="0" w:color="auto"/>
              <w:left w:val="single" w:sz="8" w:space="0" w:color="auto"/>
              <w:bottom w:val="single" w:sz="8" w:space="0" w:color="auto"/>
              <w:right w:val="single" w:sz="8" w:space="0" w:color="auto"/>
            </w:tcBorders>
          </w:tcPr>
          <w:p w:rsidR="00FA1AA0" w:rsidRPr="008A1FB2" w:rsidP="00FA1AA0">
            <w:pPr>
              <w:spacing w:after="0" w:line="240" w:lineRule="auto"/>
              <w:ind w:left="0" w:firstLine="0"/>
              <w:jc w:val="center"/>
              <w:rPr>
                <w:rFonts w:eastAsia="Times New Roman"/>
                <w:b/>
                <w:bCs/>
              </w:rPr>
            </w:pPr>
          </w:p>
          <w:p w:rsidR="00FA1AA0" w:rsidRPr="008A1FB2" w:rsidP="00FA1AA0">
            <w:pPr>
              <w:spacing w:after="0" w:line="240" w:lineRule="auto"/>
              <w:ind w:left="0" w:firstLine="0"/>
              <w:jc w:val="center"/>
              <w:rPr>
                <w:rFonts w:eastAsia="Times New Roman"/>
                <w:b/>
                <w:bCs/>
              </w:rPr>
            </w:pPr>
            <w:r w:rsidRPr="008A1FB2">
              <w:rPr>
                <w:rFonts w:eastAsia="Times New Roman"/>
                <w:b/>
                <w:bCs/>
              </w:rPr>
              <w:t>Target</w:t>
            </w:r>
          </w:p>
        </w:tc>
        <w:tc>
          <w:tcPr>
            <w:tcW w:w="1128" w:type="dxa"/>
            <w:tcBorders>
              <w:top w:val="single" w:sz="8" w:space="0" w:color="auto"/>
              <w:left w:val="single" w:sz="8" w:space="0" w:color="auto"/>
              <w:bottom w:val="single" w:sz="8" w:space="0" w:color="auto"/>
              <w:right w:val="single" w:sz="8" w:space="0" w:color="auto"/>
            </w:tcBorders>
          </w:tcPr>
          <w:p w:rsidR="00FA1AA0" w:rsidRPr="008A1FB2" w:rsidP="00FA1AA0">
            <w:pPr>
              <w:spacing w:after="0" w:line="240" w:lineRule="auto"/>
              <w:ind w:left="0" w:firstLine="0"/>
              <w:jc w:val="center"/>
              <w:rPr>
                <w:rFonts w:eastAsia="Times New Roman"/>
                <w:b/>
                <w:bCs/>
              </w:rPr>
            </w:pPr>
          </w:p>
          <w:p w:rsidR="00FA1AA0" w:rsidRPr="008A1FB2" w:rsidP="00FA1AA0">
            <w:pPr>
              <w:spacing w:after="0" w:line="240" w:lineRule="auto"/>
              <w:ind w:left="0" w:firstLine="0"/>
              <w:jc w:val="center"/>
              <w:rPr>
                <w:rFonts w:eastAsia="Times New Roman"/>
                <w:b/>
                <w:bCs/>
              </w:rPr>
            </w:pPr>
            <w:r w:rsidRPr="008A1FB2">
              <w:rPr>
                <w:rFonts w:eastAsia="Times New Roman"/>
                <w:b/>
                <w:bCs/>
              </w:rPr>
              <w:t xml:space="preserve">A v T % </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Capital Funding Invested £m</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£179.50</w:t>
            </w:r>
          </w:p>
        </w:tc>
        <w:tc>
          <w:tcPr>
            <w:tcW w:w="1084" w:type="dxa"/>
            <w:tcBorders>
              <w:top w:val="single" w:sz="8" w:space="0" w:color="auto"/>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rPr>
                <w:color w:val="FF0000"/>
              </w:rPr>
              <w:t>£273.00</w:t>
            </w:r>
          </w:p>
        </w:tc>
        <w:tc>
          <w:tcPr>
            <w:tcW w:w="1128" w:type="dxa"/>
            <w:tcBorders>
              <w:top w:val="single" w:sz="4" w:space="0" w:color="auto"/>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66%</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Private Sector Investment £m</w:t>
            </w:r>
          </w:p>
        </w:tc>
        <w:tc>
          <w:tcPr>
            <w:tcW w:w="1190" w:type="dxa"/>
            <w:tcBorders>
              <w:top w:val="nil"/>
              <w:left w:val="single" w:sz="8" w:space="0" w:color="auto"/>
              <w:bottom w:val="single" w:sz="4" w:space="0" w:color="auto"/>
              <w:right w:val="single" w:sz="8" w:space="0" w:color="auto"/>
            </w:tcBorders>
            <w:shd w:val="clear" w:color="000000" w:fill="FFFFFF"/>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£188</w:t>
            </w:r>
          </w:p>
        </w:tc>
        <w:tc>
          <w:tcPr>
            <w:tcW w:w="1084" w:type="dxa"/>
            <w:tcBorders>
              <w:top w:val="nil"/>
              <w:left w:val="single" w:sz="8" w:space="0" w:color="auto"/>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rPr>
                <w:color w:val="FF0000"/>
              </w:rPr>
              <w:t>£431</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44%</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Other Investment £m</w:t>
            </w:r>
          </w:p>
        </w:tc>
        <w:tc>
          <w:tcPr>
            <w:tcW w:w="1190" w:type="dxa"/>
            <w:tcBorders>
              <w:top w:val="nil"/>
              <w:left w:val="single" w:sz="8" w:space="0" w:color="auto"/>
              <w:bottom w:val="single" w:sz="4" w:space="0" w:color="auto"/>
              <w:right w:val="single" w:sz="8" w:space="0" w:color="auto"/>
            </w:tcBorders>
            <w:shd w:val="clear" w:color="000000" w:fill="FFFFFF"/>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£261</w:t>
            </w:r>
          </w:p>
        </w:tc>
        <w:tc>
          <w:tcPr>
            <w:tcW w:w="1084" w:type="dxa"/>
            <w:tcBorders>
              <w:top w:val="nil"/>
              <w:left w:val="single" w:sz="8" w:space="0" w:color="auto"/>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rPr>
                <w:color w:val="FF0000"/>
              </w:rPr>
              <w:t>£738</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35%</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Housing Units</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6766</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rPr>
                <w:color w:val="FF0000"/>
              </w:rPr>
              <w:t>21320</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32%</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 xml:space="preserve">Jobs Created / </w:t>
            </w:r>
            <w:r w:rsidRPr="008A1FB2">
              <w:rPr>
                <w:rFonts w:eastAsia="Times New Roman"/>
              </w:rPr>
              <w:t>Jobs Safeguarded / Apprentices</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25,680</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rPr>
                <w:color w:val="FF0000"/>
              </w:rPr>
              <w:t>41,996</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61%</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Commercial floor space constructed or refurbished (sqm)</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350,714</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rPr>
                <w:color w:val="FF0000"/>
              </w:rPr>
              <w:t>883,838</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40%</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New or Resurfaced Road (km)</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5</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5</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100%</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New or improved cycle ways (km)</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19.75</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28.1</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70%</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New or Improved Training learning</w:t>
            </w:r>
            <w:r w:rsidRPr="008A1FB2">
              <w:rPr>
                <w:rFonts w:eastAsia="Times New Roman"/>
              </w:rPr>
              <w:t xml:space="preserve"> facility (sqm)</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42371</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42557</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100%</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Additional Leaners leading to qualification (up to L4)</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10370</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10787</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96%</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Enterprises or Businesses receiving support (SME)</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4297</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rPr>
                <w:color w:val="FF0000"/>
              </w:rPr>
              <w:t>5970</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72%</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Specialist Equipment</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19</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113</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17%</w:t>
            </w:r>
          </w:p>
        </w:tc>
      </w:tr>
      <w:tr w:rsidTr="00D944BE">
        <w:tblPrEx>
          <w:tblW w:w="9204" w:type="dxa"/>
          <w:tblLook w:val="04A0"/>
        </w:tblPrEx>
        <w:trPr>
          <w:trHeight w:val="288"/>
        </w:trPr>
        <w:tc>
          <w:tcPr>
            <w:tcW w:w="5802" w:type="dxa"/>
            <w:tcBorders>
              <w:top w:val="nil"/>
              <w:left w:val="single" w:sz="8" w:space="0" w:color="auto"/>
              <w:bottom w:val="single" w:sz="4"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New products to Market</w:t>
            </w:r>
          </w:p>
        </w:tc>
        <w:tc>
          <w:tcPr>
            <w:tcW w:w="1190" w:type="dxa"/>
            <w:tcBorders>
              <w:top w:val="nil"/>
              <w:left w:val="single" w:sz="8" w:space="0" w:color="auto"/>
              <w:bottom w:val="single" w:sz="4"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40</w:t>
            </w:r>
          </w:p>
        </w:tc>
        <w:tc>
          <w:tcPr>
            <w:tcW w:w="1084" w:type="dxa"/>
            <w:tcBorders>
              <w:top w:val="nil"/>
              <w:left w:val="single" w:sz="8" w:space="0" w:color="auto"/>
              <w:bottom w:val="single" w:sz="4"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40</w:t>
            </w:r>
          </w:p>
        </w:tc>
        <w:tc>
          <w:tcPr>
            <w:tcW w:w="1128" w:type="dxa"/>
            <w:tcBorders>
              <w:top w:val="nil"/>
              <w:left w:val="nil"/>
              <w:bottom w:val="single" w:sz="4"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100%</w:t>
            </w:r>
          </w:p>
        </w:tc>
      </w:tr>
      <w:tr w:rsidTr="00D944BE">
        <w:tblPrEx>
          <w:tblW w:w="9204" w:type="dxa"/>
          <w:tblLook w:val="04A0"/>
        </w:tblPrEx>
        <w:trPr>
          <w:trHeight w:val="300"/>
        </w:trPr>
        <w:tc>
          <w:tcPr>
            <w:tcW w:w="5802" w:type="dxa"/>
            <w:tcBorders>
              <w:top w:val="nil"/>
              <w:left w:val="single" w:sz="8" w:space="0" w:color="auto"/>
              <w:bottom w:val="single" w:sz="8" w:space="0" w:color="auto"/>
              <w:right w:val="nil"/>
            </w:tcBorders>
            <w:shd w:val="clear" w:color="000000" w:fill="FFFFFF"/>
            <w:vAlign w:val="bottom"/>
          </w:tcPr>
          <w:p w:rsidR="00FA1AA0" w:rsidRPr="008A1FB2" w:rsidP="00FA1AA0">
            <w:pPr>
              <w:spacing w:after="0" w:line="240" w:lineRule="auto"/>
              <w:ind w:left="0" w:firstLine="0"/>
              <w:rPr>
                <w:rFonts w:eastAsia="Times New Roman"/>
              </w:rPr>
            </w:pPr>
            <w:r w:rsidRPr="008A1FB2">
              <w:rPr>
                <w:rFonts w:eastAsia="Times New Roman"/>
              </w:rPr>
              <w:t xml:space="preserve">Social and </w:t>
            </w:r>
            <w:r w:rsidRPr="008A1FB2">
              <w:rPr>
                <w:rFonts w:eastAsia="Times New Roman"/>
              </w:rPr>
              <w:t>Economic Value Impact £m</w:t>
            </w:r>
          </w:p>
        </w:tc>
        <w:tc>
          <w:tcPr>
            <w:tcW w:w="1190" w:type="dxa"/>
            <w:tcBorders>
              <w:top w:val="nil"/>
              <w:left w:val="single" w:sz="8" w:space="0" w:color="auto"/>
              <w:bottom w:val="single" w:sz="8" w:space="0" w:color="auto"/>
              <w:right w:val="single" w:sz="8" w:space="0" w:color="auto"/>
            </w:tcBorders>
            <w:shd w:val="clear" w:color="auto" w:fill="auto"/>
            <w:noWrap/>
            <w:vAlign w:val="bottom"/>
          </w:tcPr>
          <w:p w:rsidR="00FA1AA0" w:rsidRPr="008A1FB2" w:rsidP="00FA1AA0">
            <w:pPr>
              <w:spacing w:after="0" w:line="240" w:lineRule="auto"/>
              <w:ind w:left="0" w:firstLine="0"/>
              <w:jc w:val="right"/>
              <w:rPr>
                <w:rFonts w:eastAsia="Times New Roman"/>
              </w:rPr>
            </w:pPr>
            <w:r w:rsidRPr="008A1FB2">
              <w:rPr>
                <w:rFonts w:eastAsia="Times New Roman"/>
              </w:rPr>
              <w:t>£31.60</w:t>
            </w:r>
          </w:p>
        </w:tc>
        <w:tc>
          <w:tcPr>
            <w:tcW w:w="1084" w:type="dxa"/>
            <w:tcBorders>
              <w:top w:val="nil"/>
              <w:left w:val="single" w:sz="8" w:space="0" w:color="auto"/>
              <w:bottom w:val="single" w:sz="8" w:space="0" w:color="auto"/>
              <w:right w:val="single" w:sz="8" w:space="0" w:color="auto"/>
            </w:tcBorders>
            <w:shd w:val="clear" w:color="auto" w:fill="auto"/>
            <w:vAlign w:val="bottom"/>
          </w:tcPr>
          <w:p w:rsidR="00FA1AA0" w:rsidRPr="008A1FB2" w:rsidP="00FA1AA0">
            <w:pPr>
              <w:spacing w:after="0" w:line="240" w:lineRule="auto"/>
              <w:ind w:left="0" w:firstLine="0"/>
              <w:jc w:val="right"/>
              <w:rPr>
                <w:rFonts w:eastAsia="Times New Roman"/>
              </w:rPr>
            </w:pPr>
            <w:r w:rsidRPr="008A1FB2">
              <w:t>N/A</w:t>
            </w:r>
          </w:p>
        </w:tc>
        <w:tc>
          <w:tcPr>
            <w:tcW w:w="1128" w:type="dxa"/>
            <w:tcBorders>
              <w:top w:val="nil"/>
              <w:left w:val="nil"/>
              <w:bottom w:val="single" w:sz="8" w:space="0" w:color="auto"/>
              <w:right w:val="single" w:sz="8" w:space="0" w:color="auto"/>
            </w:tcBorders>
            <w:shd w:val="clear" w:color="000000" w:fill="FFFFFF"/>
            <w:vAlign w:val="bottom"/>
          </w:tcPr>
          <w:p w:rsidR="00FA1AA0" w:rsidRPr="008A1FB2" w:rsidP="00FA1AA0">
            <w:pPr>
              <w:spacing w:after="0" w:line="240" w:lineRule="auto"/>
              <w:ind w:left="0" w:firstLine="0"/>
              <w:jc w:val="right"/>
              <w:rPr>
                <w:rFonts w:eastAsia="Times New Roman"/>
              </w:rPr>
            </w:pPr>
            <w:r w:rsidRPr="008A1FB2">
              <w:t>N/A</w:t>
            </w:r>
          </w:p>
        </w:tc>
      </w:tr>
    </w:tbl>
    <w:p w:rsidR="00FA1AA0" w:rsidRPr="008A1FB2" w:rsidP="00FA1AA0">
      <w:pPr>
        <w:pStyle w:val="NormalNumbered"/>
        <w:rPr>
          <w:rFonts w:cs="Arial"/>
          <w:sz w:val="24"/>
        </w:rPr>
      </w:pPr>
      <w:r w:rsidRPr="008A1FB2">
        <w:rPr>
          <w:rFonts w:cs="Arial"/>
          <w:sz w:val="24"/>
        </w:rPr>
        <w:t>In respect to the above table please note:</w:t>
      </w:r>
    </w:p>
    <w:p w:rsidR="00FA1AA0" w:rsidRPr="008A1FB2" w:rsidP="00FA1AA0">
      <w:pPr>
        <w:pStyle w:val="NoSpacing"/>
        <w:numPr>
          <w:ilvl w:val="0"/>
          <w:numId w:val="11"/>
        </w:numPr>
        <w:ind w:left="360"/>
        <w:jc w:val="both"/>
      </w:pPr>
      <w:r w:rsidRPr="008A1FB2">
        <w:rPr>
          <w:u w:val="single"/>
        </w:rPr>
        <w:t>Growing Places and Warton EZ programmes</w:t>
      </w:r>
      <w:r w:rsidRPr="008A1FB2">
        <w:t xml:space="preserve"> – Whilst the programmes have reported 'actuals' which are included in the table above, they do not currently have targets to measure</w:t>
      </w:r>
      <w:r w:rsidRPr="008A1FB2">
        <w:t xml:space="preserve"> performance against.</w:t>
      </w:r>
    </w:p>
    <w:p w:rsidR="00FA1AA0" w:rsidRPr="008A1FB2" w:rsidP="00FA1AA0">
      <w:pPr>
        <w:pStyle w:val="NoSpacing"/>
        <w:numPr>
          <w:ilvl w:val="0"/>
          <w:numId w:val="11"/>
        </w:numPr>
        <w:ind w:left="360"/>
        <w:jc w:val="both"/>
      </w:pPr>
      <w:r w:rsidRPr="008A1FB2">
        <w:rPr>
          <w:u w:val="single"/>
        </w:rPr>
        <w:t>Lancashire Skills and Employment Hub programme</w:t>
      </w:r>
      <w:r w:rsidRPr="008A1FB2">
        <w:t xml:space="preserve"> - As a strategic unit, gathering local labour market intelligence to identify skills and employment priorities, the programme is not measured against the KPIs within the table above. Plea</w:t>
      </w:r>
      <w:r w:rsidRPr="008A1FB2">
        <w:t>se refer to programme report for performance data. An outcome of the KPI review would be to establish if there are KPIs for this programme which should be included in the LEP KPI document.</w:t>
      </w:r>
    </w:p>
    <w:p w:rsidR="00FA1AA0" w:rsidRPr="008A1FB2" w:rsidP="00FA1AA0">
      <w:pPr>
        <w:pStyle w:val="NoSpacing"/>
        <w:numPr>
          <w:ilvl w:val="0"/>
          <w:numId w:val="11"/>
        </w:numPr>
        <w:ind w:left="360"/>
        <w:jc w:val="both"/>
      </w:pPr>
      <w:r w:rsidRPr="008A1FB2">
        <w:rPr>
          <w:u w:val="single"/>
        </w:rPr>
        <w:t>Double Counting</w:t>
      </w:r>
      <w:r w:rsidRPr="008A1FB2">
        <w:t xml:space="preserve"> - Some of the programmes cross cut, as such there i</w:t>
      </w:r>
      <w:r w:rsidRPr="008A1FB2">
        <w:t>s the potential for double counting of 'actuals' and 'targets', identified in red, when combining all programmes KPIs. For example the Growth Deal programme funds works at Samlesbury EZ, as such both the Growth Deal and Samlesbury EZ programmes are reporti</w:t>
      </w:r>
      <w:r w:rsidRPr="008A1FB2">
        <w:t>ng the same 'targets' and 'actuals'. An exercise has been undertaken to remove the duplicates in the 'actuals',  the same exercise needs to be completed for 'targets'.</w:t>
      </w:r>
    </w:p>
    <w:p w:rsidR="00FA1AA0" w:rsidRPr="008A1FB2" w:rsidP="00FA1AA0">
      <w:pPr>
        <w:pStyle w:val="NoSpacing"/>
        <w:numPr>
          <w:ilvl w:val="0"/>
          <w:numId w:val="11"/>
        </w:numPr>
        <w:ind w:left="360"/>
        <w:jc w:val="both"/>
      </w:pPr>
      <w:r w:rsidRPr="008A1FB2">
        <w:rPr>
          <w:u w:val="single"/>
        </w:rPr>
        <w:t>Reporting Period</w:t>
      </w:r>
      <w:r w:rsidRPr="008A1FB2">
        <w:t xml:space="preserve"> – Programmes performance periods range from 2013 – 2041.</w:t>
      </w:r>
    </w:p>
    <w:p w:rsidR="00FA1AA0" w:rsidRPr="008A1FB2" w:rsidP="00060C97">
      <w:pPr>
        <w:pStyle w:val="NoSpacing"/>
      </w:pPr>
    </w:p>
    <w:p w:rsidR="00D944BE" w:rsidP="00060C97">
      <w:pPr>
        <w:pStyle w:val="NormalNumbered"/>
        <w:rPr>
          <w:rFonts w:cs="Arial"/>
          <w:sz w:val="24"/>
          <w:u w:val="single"/>
        </w:rPr>
      </w:pPr>
    </w:p>
    <w:p w:rsidR="00D944BE" w:rsidP="00060C97">
      <w:pPr>
        <w:pStyle w:val="NormalNumbered"/>
        <w:rPr>
          <w:rFonts w:cs="Arial"/>
          <w:sz w:val="24"/>
          <w:u w:val="single"/>
        </w:rPr>
      </w:pPr>
    </w:p>
    <w:p w:rsidR="00060C97" w:rsidRPr="008A1FB2" w:rsidP="00060C97">
      <w:pPr>
        <w:pStyle w:val="NormalNumbered"/>
        <w:rPr>
          <w:rFonts w:cs="Arial"/>
          <w:sz w:val="24"/>
        </w:rPr>
      </w:pPr>
      <w:r w:rsidRPr="008A1FB2">
        <w:rPr>
          <w:rFonts w:cs="Arial"/>
          <w:sz w:val="24"/>
          <w:u w:val="single"/>
        </w:rPr>
        <w:t>Baselines</w:t>
      </w:r>
      <w:r w:rsidRPr="008A1FB2">
        <w:rPr>
          <w:rFonts w:cs="Arial"/>
          <w:sz w:val="24"/>
        </w:rPr>
        <w:t xml:space="preserve"> </w:t>
      </w:r>
    </w:p>
    <w:p w:rsidR="00060C97" w:rsidRPr="008A1FB2" w:rsidP="00060C97">
      <w:pPr>
        <w:pStyle w:val="NormalNumbered"/>
        <w:rPr>
          <w:rFonts w:cs="Arial"/>
          <w:sz w:val="24"/>
        </w:rPr>
      </w:pPr>
      <w:r w:rsidRPr="008A1FB2">
        <w:rPr>
          <w:rFonts w:cs="Arial"/>
          <w:sz w:val="24"/>
        </w:rPr>
        <w:t>In terms of developing the reporting further, the aim is to establish 'baselines' and 'targets' for all appropriate programmes. This performance data information will provide Members of the Board with the relevant information to understand Programme perfor</w:t>
      </w:r>
      <w:r w:rsidRPr="008A1FB2">
        <w:rPr>
          <w:rFonts w:cs="Arial"/>
          <w:sz w:val="24"/>
        </w:rPr>
        <w:t>mance in order to support informed on-going investment decisions.</w:t>
      </w:r>
    </w:p>
    <w:p w:rsidR="00060C97" w:rsidRPr="008A1FB2" w:rsidP="00060C97">
      <w:pPr>
        <w:pStyle w:val="NormalNumbered"/>
        <w:rPr>
          <w:rFonts w:cs="Arial"/>
          <w:b/>
          <w:i/>
          <w:sz w:val="24"/>
        </w:rPr>
      </w:pPr>
      <w:r w:rsidRPr="008A1FB2">
        <w:rPr>
          <w:rFonts w:cs="Arial"/>
          <w:b/>
          <w:i/>
          <w:sz w:val="24"/>
        </w:rPr>
        <w:t xml:space="preserve">Risk </w:t>
      </w:r>
    </w:p>
    <w:p w:rsidR="00060C97" w:rsidRPr="008A1FB2" w:rsidP="00060C97">
      <w:pPr>
        <w:pStyle w:val="NormalNumbered"/>
        <w:rPr>
          <w:rFonts w:cs="Arial"/>
          <w:sz w:val="24"/>
        </w:rPr>
      </w:pPr>
      <w:r w:rsidRPr="008A1FB2">
        <w:rPr>
          <w:rFonts w:cs="Arial"/>
          <w:sz w:val="24"/>
        </w:rPr>
        <w:t xml:space="preserve">A new Single Portfolio Risk Register for the combined programmes has been created, which can be found at Appendix M to this report. </w:t>
      </w:r>
    </w:p>
    <w:p w:rsidR="00060C97" w:rsidRPr="008A1FB2" w:rsidP="00060C97">
      <w:pPr>
        <w:pStyle w:val="NormalNumbered"/>
        <w:rPr>
          <w:rFonts w:cs="Arial"/>
          <w:b/>
          <w:i/>
          <w:sz w:val="24"/>
        </w:rPr>
      </w:pPr>
      <w:r w:rsidRPr="008A1FB2">
        <w:rPr>
          <w:rFonts w:cs="Arial"/>
          <w:b/>
          <w:i/>
          <w:sz w:val="24"/>
        </w:rPr>
        <w:t>Summary of Decisions Expected</w:t>
      </w:r>
    </w:p>
    <w:p w:rsidR="00060C97" w:rsidRPr="008A1FB2" w:rsidP="00060C97">
      <w:pPr>
        <w:pStyle w:val="NormalNumbered"/>
        <w:rPr>
          <w:rFonts w:cs="Arial"/>
          <w:sz w:val="24"/>
        </w:rPr>
      </w:pPr>
      <w:r w:rsidRPr="008A1FB2">
        <w:rPr>
          <w:rFonts w:cs="Arial"/>
          <w:sz w:val="24"/>
        </w:rPr>
        <w:t>The table below conta</w:t>
      </w:r>
      <w:r w:rsidRPr="008A1FB2">
        <w:rPr>
          <w:rFonts w:cs="Arial"/>
          <w:sz w:val="24"/>
        </w:rPr>
        <w:t>ins the expected decisions from programmes to be presented to the LEP Board either at the next Board meeting (2</w:t>
      </w:r>
      <w:r w:rsidRPr="008A1FB2">
        <w:rPr>
          <w:rFonts w:cs="Arial"/>
          <w:sz w:val="24"/>
          <w:vertAlign w:val="superscript"/>
        </w:rPr>
        <w:t>nd</w:t>
      </w:r>
      <w:r w:rsidRPr="008A1FB2">
        <w:rPr>
          <w:rFonts w:cs="Arial"/>
          <w:sz w:val="24"/>
        </w:rPr>
        <w:t xml:space="preserve"> February</w:t>
      </w:r>
      <w:r>
        <w:rPr>
          <w:rFonts w:cs="Arial"/>
          <w:sz w:val="24"/>
        </w:rPr>
        <w:t xml:space="preserve"> 2021</w:t>
      </w:r>
      <w:r w:rsidRPr="008A1FB2">
        <w:rPr>
          <w:rFonts w:cs="Arial"/>
          <w:sz w:val="24"/>
        </w:rPr>
        <w:t>), or considered as an item of urgent business, before the 2</w:t>
      </w:r>
      <w:r w:rsidRPr="008A1FB2">
        <w:rPr>
          <w:rFonts w:cs="Arial"/>
          <w:sz w:val="24"/>
          <w:vertAlign w:val="superscript"/>
        </w:rPr>
        <w:t>nd</w:t>
      </w:r>
      <w:r w:rsidRPr="008A1FB2">
        <w:rPr>
          <w:rFonts w:cs="Arial"/>
          <w:sz w:val="24"/>
        </w:rPr>
        <w:t xml:space="preserve"> February</w:t>
      </w:r>
      <w:r>
        <w:rPr>
          <w:rFonts w:cs="Arial"/>
          <w:sz w:val="24"/>
        </w:rPr>
        <w:t xml:space="preserve"> 2021</w:t>
      </w:r>
      <w:r w:rsidRPr="008A1FB2">
        <w:rPr>
          <w:rFonts w:cs="Arial"/>
          <w:sz w:val="24"/>
        </w:rPr>
        <w:t xml:space="preserve"> meeting. </w:t>
      </w:r>
    </w:p>
    <w:tbl>
      <w:tblPr>
        <w:tblW w:w="8921" w:type="dxa"/>
        <w:tblLook w:val="04A0"/>
      </w:tblPr>
      <w:tblGrid>
        <w:gridCol w:w="1975"/>
        <w:gridCol w:w="3118"/>
        <w:gridCol w:w="3828"/>
      </w:tblGrid>
      <w:tr w:rsidTr="00AE0823">
        <w:tblPrEx>
          <w:tblW w:w="8921" w:type="dxa"/>
          <w:tblLook w:val="04A0"/>
        </w:tblPrEx>
        <w:trPr>
          <w:trHeight w:val="288"/>
        </w:trPr>
        <w:tc>
          <w:tcPr>
            <w:tcW w:w="1975"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060C97" w:rsidRPr="008A1FB2" w:rsidP="00AE0823">
            <w:pPr>
              <w:spacing w:after="0" w:line="240" w:lineRule="auto"/>
              <w:ind w:left="0" w:firstLine="0"/>
              <w:rPr>
                <w:rFonts w:eastAsia="Times New Roman"/>
                <w:b/>
                <w:bCs/>
              </w:rPr>
            </w:pPr>
            <w:r w:rsidRPr="008A1FB2">
              <w:rPr>
                <w:rFonts w:eastAsia="Times New Roman"/>
                <w:b/>
                <w:bCs/>
              </w:rPr>
              <w:t>Programme</w:t>
            </w:r>
          </w:p>
        </w:tc>
        <w:tc>
          <w:tcPr>
            <w:tcW w:w="3118" w:type="dxa"/>
            <w:tcBorders>
              <w:top w:val="single" w:sz="8" w:space="0" w:color="auto"/>
              <w:left w:val="nil"/>
              <w:bottom w:val="single" w:sz="4" w:space="0" w:color="auto"/>
              <w:right w:val="single" w:sz="8" w:space="0" w:color="auto"/>
            </w:tcBorders>
            <w:shd w:val="clear" w:color="auto" w:fill="auto"/>
            <w:noWrap/>
            <w:vAlign w:val="bottom"/>
            <w:hideMark/>
          </w:tcPr>
          <w:p w:rsidR="00060C97" w:rsidRPr="008A1FB2" w:rsidP="00AE0823">
            <w:pPr>
              <w:spacing w:after="0" w:line="240" w:lineRule="auto"/>
              <w:ind w:left="0" w:firstLine="0"/>
              <w:rPr>
                <w:rFonts w:eastAsia="Times New Roman"/>
                <w:b/>
                <w:bCs/>
              </w:rPr>
            </w:pPr>
            <w:r w:rsidRPr="008A1FB2">
              <w:rPr>
                <w:rFonts w:eastAsia="Times New Roman"/>
                <w:b/>
                <w:bCs/>
              </w:rPr>
              <w:t>Decisions expected at  LEP Board</w:t>
            </w:r>
            <w:r w:rsidRPr="008A1FB2">
              <w:rPr>
                <w:rFonts w:eastAsia="Times New Roman"/>
                <w:b/>
                <w:bCs/>
              </w:rPr>
              <w:t xml:space="preserve"> 2</w:t>
            </w:r>
            <w:r w:rsidRPr="008A1FB2">
              <w:rPr>
                <w:rFonts w:eastAsia="Times New Roman"/>
                <w:b/>
                <w:bCs/>
                <w:vertAlign w:val="superscript"/>
              </w:rPr>
              <w:t>nd</w:t>
            </w:r>
            <w:r w:rsidRPr="008A1FB2">
              <w:rPr>
                <w:rFonts w:eastAsia="Times New Roman"/>
                <w:b/>
                <w:bCs/>
              </w:rPr>
              <w:t xml:space="preserve"> February 2</w:t>
            </w:r>
            <w:r>
              <w:rPr>
                <w:rFonts w:eastAsia="Times New Roman"/>
                <w:b/>
                <w:bCs/>
              </w:rPr>
              <w:t>1</w:t>
            </w:r>
          </w:p>
        </w:tc>
        <w:tc>
          <w:tcPr>
            <w:tcW w:w="3828" w:type="dxa"/>
            <w:tcBorders>
              <w:top w:val="single" w:sz="8" w:space="0" w:color="auto"/>
              <w:left w:val="nil"/>
              <w:bottom w:val="single" w:sz="4" w:space="0" w:color="auto"/>
              <w:right w:val="single" w:sz="8" w:space="0" w:color="auto"/>
            </w:tcBorders>
          </w:tcPr>
          <w:p w:rsidR="00060C97" w:rsidRPr="008A1FB2" w:rsidP="00AE0823">
            <w:pPr>
              <w:spacing w:after="0" w:line="240" w:lineRule="auto"/>
              <w:ind w:left="0" w:firstLine="0"/>
              <w:rPr>
                <w:rFonts w:eastAsia="Times New Roman"/>
                <w:b/>
                <w:bCs/>
              </w:rPr>
            </w:pPr>
            <w:r w:rsidRPr="008A1FB2">
              <w:rPr>
                <w:rFonts w:eastAsia="Times New Roman"/>
                <w:b/>
                <w:bCs/>
              </w:rPr>
              <w:t>Decisions expected via written procedure</w:t>
            </w:r>
          </w:p>
        </w:tc>
      </w:tr>
      <w:tr w:rsidTr="00AE0823">
        <w:tblPrEx>
          <w:tblW w:w="8921" w:type="dxa"/>
          <w:tblLook w:val="04A0"/>
        </w:tblPrEx>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060C97" w:rsidRPr="008A1FB2" w:rsidP="00AE0823">
            <w:pPr>
              <w:spacing w:after="0" w:line="240" w:lineRule="auto"/>
              <w:ind w:left="0" w:firstLine="0"/>
              <w:rPr>
                <w:rFonts w:eastAsia="Times New Roman"/>
              </w:rPr>
            </w:pPr>
            <w:r w:rsidRPr="008A1FB2">
              <w:rPr>
                <w:rFonts w:eastAsia="Times New Roman"/>
              </w:rPr>
              <w:t>Growth Deal</w:t>
            </w:r>
          </w:p>
        </w:tc>
        <w:tc>
          <w:tcPr>
            <w:tcW w:w="3118" w:type="dxa"/>
            <w:tcBorders>
              <w:top w:val="nil"/>
              <w:left w:val="nil"/>
              <w:bottom w:val="single" w:sz="4" w:space="0" w:color="auto"/>
              <w:right w:val="single" w:sz="8" w:space="0" w:color="auto"/>
            </w:tcBorders>
            <w:shd w:val="clear" w:color="auto" w:fill="auto"/>
            <w:noWrap/>
            <w:vAlign w:val="bottom"/>
          </w:tcPr>
          <w:p w:rsidR="00060C97" w:rsidRPr="008A1FB2" w:rsidP="00AE0823">
            <w:pPr>
              <w:spacing w:after="0" w:line="240" w:lineRule="auto"/>
              <w:ind w:left="0" w:firstLine="0"/>
              <w:rPr>
                <w:rFonts w:eastAsia="Times New Roman"/>
              </w:rPr>
            </w:pPr>
          </w:p>
        </w:tc>
        <w:tc>
          <w:tcPr>
            <w:tcW w:w="3828" w:type="dxa"/>
            <w:tcBorders>
              <w:top w:val="nil"/>
              <w:left w:val="nil"/>
              <w:bottom w:val="single" w:sz="4" w:space="0" w:color="auto"/>
              <w:right w:val="single" w:sz="8" w:space="0" w:color="auto"/>
            </w:tcBorders>
          </w:tcPr>
          <w:p w:rsidR="00060C97" w:rsidRPr="008A1FB2" w:rsidP="00AE0823">
            <w:pPr>
              <w:spacing w:after="0" w:line="240" w:lineRule="auto"/>
              <w:ind w:left="0" w:firstLine="0"/>
              <w:rPr>
                <w:rFonts w:eastAsia="Times New Roman"/>
              </w:rPr>
            </w:pPr>
            <w:r w:rsidRPr="008A1FB2">
              <w:rPr>
                <w:rFonts w:eastAsia="Times New Roman"/>
              </w:rPr>
              <w:t xml:space="preserve">Approval of Qtr. 2 &amp; 3 LGF reporting </w:t>
            </w:r>
          </w:p>
        </w:tc>
      </w:tr>
      <w:tr w:rsidTr="00AE0823">
        <w:tblPrEx>
          <w:tblW w:w="8921" w:type="dxa"/>
          <w:tblLook w:val="04A0"/>
        </w:tblPrEx>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060C97" w:rsidRPr="008A1FB2" w:rsidP="00AE0823">
            <w:pPr>
              <w:spacing w:after="0" w:line="240" w:lineRule="auto"/>
              <w:ind w:left="0" w:firstLine="0"/>
              <w:rPr>
                <w:rFonts w:eastAsia="Times New Roman"/>
              </w:rPr>
            </w:pPr>
            <w:r w:rsidRPr="008A1FB2">
              <w:rPr>
                <w:rFonts w:eastAsia="Times New Roman"/>
              </w:rPr>
              <w:t>Getting Building Fund</w:t>
            </w:r>
          </w:p>
        </w:tc>
        <w:tc>
          <w:tcPr>
            <w:tcW w:w="3118" w:type="dxa"/>
            <w:tcBorders>
              <w:top w:val="nil"/>
              <w:left w:val="nil"/>
              <w:bottom w:val="single" w:sz="4" w:space="0" w:color="auto"/>
              <w:right w:val="single" w:sz="8" w:space="0" w:color="auto"/>
            </w:tcBorders>
            <w:shd w:val="clear" w:color="auto" w:fill="auto"/>
            <w:noWrap/>
            <w:vAlign w:val="bottom"/>
          </w:tcPr>
          <w:p w:rsidR="00060C97" w:rsidRPr="008A1FB2" w:rsidP="00AE0823">
            <w:pPr>
              <w:spacing w:after="0" w:line="240" w:lineRule="auto"/>
              <w:ind w:left="0" w:firstLine="0"/>
              <w:jc w:val="right"/>
              <w:rPr>
                <w:rFonts w:eastAsia="Times New Roman"/>
              </w:rPr>
            </w:pPr>
          </w:p>
        </w:tc>
        <w:tc>
          <w:tcPr>
            <w:tcW w:w="3828" w:type="dxa"/>
            <w:tcBorders>
              <w:top w:val="nil"/>
              <w:left w:val="nil"/>
              <w:bottom w:val="single" w:sz="4" w:space="0" w:color="auto"/>
              <w:right w:val="single" w:sz="8" w:space="0" w:color="auto"/>
            </w:tcBorders>
          </w:tcPr>
          <w:p w:rsidR="00060C97" w:rsidRPr="008A1FB2" w:rsidP="00AE0823">
            <w:pPr>
              <w:spacing w:after="0" w:line="240" w:lineRule="auto"/>
              <w:ind w:left="0" w:firstLine="0"/>
              <w:rPr>
                <w:rFonts w:eastAsia="Times New Roman"/>
              </w:rPr>
            </w:pPr>
            <w:r w:rsidRPr="008A1FB2">
              <w:rPr>
                <w:rFonts w:eastAsia="Times New Roman"/>
              </w:rPr>
              <w:t>Potential approvals of 10 GBF project GFAs, unless delegated.</w:t>
            </w:r>
          </w:p>
        </w:tc>
      </w:tr>
      <w:tr w:rsidTr="00AE0823">
        <w:tblPrEx>
          <w:tblW w:w="8921" w:type="dxa"/>
          <w:tblLook w:val="04A0"/>
        </w:tblPrEx>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060C97" w:rsidRPr="008A1FB2" w:rsidP="00AE0823">
            <w:pPr>
              <w:spacing w:after="0" w:line="240" w:lineRule="auto"/>
              <w:ind w:left="0" w:firstLine="0"/>
              <w:rPr>
                <w:rFonts w:eastAsia="Times New Roman"/>
              </w:rPr>
            </w:pPr>
            <w:r w:rsidRPr="008A1FB2">
              <w:rPr>
                <w:rFonts w:eastAsia="Times New Roman"/>
              </w:rPr>
              <w:t>Growing Places Fund</w:t>
            </w:r>
          </w:p>
        </w:tc>
        <w:tc>
          <w:tcPr>
            <w:tcW w:w="3118" w:type="dxa"/>
            <w:tcBorders>
              <w:top w:val="nil"/>
              <w:left w:val="nil"/>
              <w:bottom w:val="single" w:sz="4" w:space="0" w:color="auto"/>
              <w:right w:val="single" w:sz="8" w:space="0" w:color="auto"/>
            </w:tcBorders>
            <w:shd w:val="clear" w:color="auto" w:fill="auto"/>
            <w:noWrap/>
            <w:vAlign w:val="bottom"/>
          </w:tcPr>
          <w:p w:rsidR="00060C97" w:rsidRPr="008A1FB2" w:rsidP="00AE0823">
            <w:pPr>
              <w:spacing w:after="0" w:line="240" w:lineRule="auto"/>
              <w:ind w:left="0" w:firstLine="0"/>
              <w:rPr>
                <w:rFonts w:eastAsia="Times New Roman"/>
              </w:rPr>
            </w:pPr>
          </w:p>
        </w:tc>
        <w:tc>
          <w:tcPr>
            <w:tcW w:w="3828" w:type="dxa"/>
            <w:tcBorders>
              <w:top w:val="nil"/>
              <w:left w:val="nil"/>
              <w:bottom w:val="single" w:sz="4" w:space="0" w:color="auto"/>
              <w:right w:val="single" w:sz="8" w:space="0" w:color="auto"/>
            </w:tcBorders>
          </w:tcPr>
          <w:p w:rsidR="00060C97" w:rsidRPr="008A1FB2" w:rsidP="00AE0823">
            <w:pPr>
              <w:spacing w:after="0" w:line="240" w:lineRule="auto"/>
              <w:ind w:left="0" w:firstLine="0"/>
              <w:rPr>
                <w:rFonts w:eastAsia="Times New Roman"/>
              </w:rPr>
            </w:pPr>
            <w:r w:rsidRPr="008A1FB2">
              <w:rPr>
                <w:rFonts w:eastAsia="Times New Roman"/>
              </w:rPr>
              <w:t>HoT</w:t>
            </w:r>
            <w:r w:rsidRPr="008A1FB2">
              <w:rPr>
                <w:rFonts w:eastAsia="Times New Roman"/>
              </w:rPr>
              <w:t xml:space="preserve"> agreement if appropriate following report to LEP Board 8 Dec</w:t>
            </w:r>
          </w:p>
        </w:tc>
      </w:tr>
    </w:tbl>
    <w:p w:rsidR="00060C97" w:rsidRPr="008A1FB2" w:rsidP="00060C97">
      <w:pPr>
        <w:pStyle w:val="NoSpacing"/>
      </w:pPr>
    </w:p>
    <w:p w:rsidR="00060C97" w:rsidRPr="008A1FB2" w:rsidP="00060C97">
      <w:pPr>
        <w:pStyle w:val="NoSpacing"/>
        <w:rPr>
          <w:b/>
          <w:i/>
        </w:rPr>
      </w:pPr>
      <w:r w:rsidRPr="008A1FB2">
        <w:rPr>
          <w:b/>
          <w:i/>
        </w:rPr>
        <w:t>Matters to Consider / Highlight</w:t>
      </w:r>
    </w:p>
    <w:p w:rsidR="00060C97" w:rsidRPr="008A1FB2" w:rsidP="00060C97">
      <w:pPr>
        <w:pStyle w:val="NoSpacing"/>
        <w:jc w:val="both"/>
        <w:rPr>
          <w:b/>
          <w:i/>
        </w:rPr>
      </w:pPr>
    </w:p>
    <w:p w:rsidR="00060C97" w:rsidRPr="008A1FB2" w:rsidP="00060C97">
      <w:pPr>
        <w:pStyle w:val="NoSpacing"/>
        <w:jc w:val="both"/>
      </w:pPr>
      <w:r w:rsidRPr="008A1FB2">
        <w:t>In terms of the individual programmes updates appended to this report, the following reports are highlighted for note / attention:</w:t>
      </w:r>
    </w:p>
    <w:p w:rsidR="00060C97" w:rsidRPr="008A1FB2" w:rsidP="00060C97">
      <w:pPr>
        <w:pStyle w:val="NoSpacing"/>
        <w:jc w:val="both"/>
      </w:pPr>
    </w:p>
    <w:p w:rsidR="00060C97" w:rsidRPr="008A1FB2" w:rsidP="00060C97">
      <w:pPr>
        <w:pStyle w:val="NoSpacing"/>
        <w:numPr>
          <w:ilvl w:val="0"/>
          <w:numId w:val="9"/>
        </w:numPr>
        <w:jc w:val="both"/>
      </w:pPr>
      <w:r w:rsidRPr="008A1FB2">
        <w:rPr>
          <w:u w:val="single"/>
        </w:rPr>
        <w:t xml:space="preserve">Warton Enterprise Zone Report </w:t>
      </w:r>
      <w:r w:rsidRPr="008A1FB2">
        <w:t>– As Members will note no milestones or targets are contained within the report, with note of a 'strategic discussion' required to conclude. It is suggested a presentation of all Enterprise Zones is arranged for Members, to co</w:t>
      </w:r>
      <w:r w:rsidRPr="008A1FB2">
        <w:t xml:space="preserve">nsider current position and forward strategy and delivery. </w:t>
      </w:r>
    </w:p>
    <w:p w:rsidR="00060C97" w:rsidRPr="008A1FB2" w:rsidP="00060C97">
      <w:pPr>
        <w:pStyle w:val="NoSpacing"/>
        <w:numPr>
          <w:ilvl w:val="0"/>
          <w:numId w:val="9"/>
        </w:numPr>
        <w:jc w:val="both"/>
      </w:pPr>
      <w:r w:rsidRPr="008A1FB2">
        <w:rPr>
          <w:u w:val="single"/>
        </w:rPr>
        <w:t>Social and Economic Value Report</w:t>
      </w:r>
      <w:r w:rsidRPr="008A1FB2">
        <w:t xml:space="preserve"> – In response to feedback from Members, it is suggested a presentation and further report be provided to Members, in terms of how this successful programme can be </w:t>
      </w:r>
      <w:r w:rsidRPr="008A1FB2">
        <w:t xml:space="preserve">built upon. </w:t>
      </w:r>
    </w:p>
    <w:p w:rsidR="00386D34" w:rsidRPr="008A1FB2"/>
    <w:p w:rsidR="005D0C06" w:rsidRPr="008A1FB2" w:rsidP="005D0C06">
      <w:pPr>
        <w:pStyle w:val="Heading5"/>
        <w:rPr>
          <w:rFonts w:ascii="Arial" w:hAnsi="Arial" w:cs="Arial"/>
          <w:b/>
          <w:color w:val="auto"/>
        </w:rPr>
      </w:pPr>
      <w:r w:rsidRPr="008A1FB2">
        <w:rPr>
          <w:rFonts w:ascii="Arial" w:hAnsi="Arial" w:cs="Arial"/>
          <w:b/>
          <w:color w:val="auto"/>
        </w:rPr>
        <w:t>List of Background Papers</w:t>
      </w:r>
    </w:p>
    <w:p w:rsidR="005D0C06" w:rsidRPr="008A1FB2" w:rsidP="005D0C06"/>
    <w:tbl>
      <w:tblPr>
        <w:tblW w:w="0" w:type="auto"/>
        <w:tblLayout w:type="fixed"/>
        <w:tblLook w:val="0000"/>
      </w:tblPr>
      <w:tblGrid>
        <w:gridCol w:w="3510"/>
        <w:gridCol w:w="2492"/>
        <w:gridCol w:w="3178"/>
      </w:tblGrid>
      <w:tr w:rsidTr="00434CCE">
        <w:tblPrEx>
          <w:tblW w:w="0" w:type="auto"/>
          <w:tblLayout w:type="fixed"/>
          <w:tblLook w:val="0000"/>
        </w:tblPrEx>
        <w:tc>
          <w:tcPr>
            <w:tcW w:w="3510" w:type="dxa"/>
          </w:tcPr>
          <w:p w:rsidR="005D0C06" w:rsidRPr="008A1FB2" w:rsidP="00434CCE">
            <w:pPr>
              <w:pStyle w:val="Heading7"/>
              <w:rPr>
                <w:rFonts w:ascii="Arial" w:hAnsi="Arial" w:cs="Arial"/>
                <w:i w:val="0"/>
                <w:color w:val="auto"/>
              </w:rPr>
            </w:pPr>
            <w:r w:rsidRPr="008A1FB2">
              <w:rPr>
                <w:rFonts w:ascii="Arial" w:hAnsi="Arial" w:cs="Arial"/>
                <w:i w:val="0"/>
                <w:color w:val="auto"/>
              </w:rPr>
              <w:t>Paper</w:t>
            </w:r>
          </w:p>
        </w:tc>
        <w:tc>
          <w:tcPr>
            <w:tcW w:w="2492" w:type="dxa"/>
          </w:tcPr>
          <w:p w:rsidR="005D0C06" w:rsidRPr="008A1FB2" w:rsidP="00434CCE">
            <w:pPr>
              <w:pStyle w:val="Heading7"/>
              <w:rPr>
                <w:rFonts w:ascii="Arial" w:hAnsi="Arial" w:cs="Arial"/>
                <w:i w:val="0"/>
                <w:color w:val="auto"/>
              </w:rPr>
            </w:pPr>
            <w:r w:rsidRPr="008A1FB2">
              <w:rPr>
                <w:rFonts w:ascii="Arial" w:hAnsi="Arial" w:cs="Arial"/>
                <w:i w:val="0"/>
                <w:color w:val="auto"/>
              </w:rPr>
              <w:t>Date</w:t>
            </w:r>
          </w:p>
        </w:tc>
        <w:tc>
          <w:tcPr>
            <w:tcW w:w="3178" w:type="dxa"/>
          </w:tcPr>
          <w:p w:rsidR="005D0C06" w:rsidRPr="008A1FB2" w:rsidP="00434CCE">
            <w:pPr>
              <w:pStyle w:val="Heading7"/>
              <w:rPr>
                <w:rFonts w:ascii="Arial" w:hAnsi="Arial" w:cs="Arial"/>
                <w:i w:val="0"/>
                <w:color w:val="auto"/>
              </w:rPr>
            </w:pPr>
            <w:r w:rsidRPr="008A1FB2">
              <w:rPr>
                <w:rFonts w:ascii="Arial" w:hAnsi="Arial" w:cs="Arial"/>
                <w:i w:val="0"/>
                <w:color w:val="auto"/>
              </w:rPr>
              <w:t>Contact/Tel</w:t>
            </w:r>
          </w:p>
        </w:tc>
      </w:tr>
      <w:tr w:rsidTr="00434CCE">
        <w:tblPrEx>
          <w:tblW w:w="0" w:type="auto"/>
          <w:tblLayout w:type="fixed"/>
          <w:tblLook w:val="0000"/>
        </w:tblPrEx>
        <w:tc>
          <w:tcPr>
            <w:tcW w:w="3510" w:type="dxa"/>
          </w:tcPr>
          <w:p w:rsidR="005D0C06" w:rsidRPr="008A1FB2" w:rsidP="00D944BE">
            <w:pPr>
              <w:rPr>
                <w:color w:val="auto"/>
              </w:rPr>
            </w:pPr>
            <w:r>
              <w:rPr>
                <w:color w:val="auto"/>
              </w:rPr>
              <w:t>None</w:t>
            </w:r>
            <w:bookmarkStart w:id="0" w:name="_GoBack"/>
            <w:bookmarkEnd w:id="0"/>
          </w:p>
        </w:tc>
        <w:tc>
          <w:tcPr>
            <w:tcW w:w="2492" w:type="dxa"/>
          </w:tcPr>
          <w:p w:rsidR="005D0C06" w:rsidRPr="008A1FB2" w:rsidP="00434CCE">
            <w:pPr>
              <w:rPr>
                <w:color w:val="auto"/>
              </w:rPr>
            </w:pPr>
          </w:p>
        </w:tc>
        <w:tc>
          <w:tcPr>
            <w:tcW w:w="3178" w:type="dxa"/>
          </w:tcPr>
          <w:p w:rsidR="005D0C06" w:rsidRPr="008A1FB2" w:rsidP="00434CCE">
            <w:pPr>
              <w:rPr>
                <w:color w:val="auto"/>
              </w:rPr>
            </w:pPr>
          </w:p>
        </w:tc>
      </w:tr>
      <w:tr w:rsidTr="00434CCE">
        <w:tblPrEx>
          <w:tblW w:w="0" w:type="auto"/>
          <w:tblLayout w:type="fixed"/>
          <w:tblLook w:val="0000"/>
        </w:tblPrEx>
        <w:trPr>
          <w:cantSplit/>
        </w:trPr>
        <w:tc>
          <w:tcPr>
            <w:tcW w:w="9180" w:type="dxa"/>
            <w:gridSpan w:val="3"/>
          </w:tcPr>
          <w:p w:rsidR="005D0C06" w:rsidRPr="008A1FB2" w:rsidP="00434CCE">
            <w:r w:rsidRPr="008A1FB2">
              <w:t xml:space="preserve">Reason for inclusion in Part II, if appropriate </w:t>
            </w:r>
          </w:p>
          <w:p w:rsidR="005D0C06" w:rsidRPr="008A1FB2" w:rsidP="00D944BE">
            <w:r>
              <w:rPr>
                <w:color w:val="auto"/>
              </w:rPr>
              <w:t>N/A</w:t>
            </w:r>
          </w:p>
        </w:tc>
      </w:tr>
    </w:tbl>
    <w:p w:rsidR="005D0C06" w:rsidP="00D944BE">
      <w:pPr>
        <w:ind w:left="0" w:firstLine="0"/>
      </w:pPr>
    </w:p>
    <w:sectPr w:rsidSect="00D944BE">
      <w:headerReference w:type="default" r:id="rId5"/>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5"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1647"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20E8E"/>
    <w:multiLevelType w:val="hybridMultilevel"/>
    <w:tmpl w:val="4CF8253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5D63947"/>
    <w:multiLevelType w:val="hybridMultilevel"/>
    <w:tmpl w:val="4EC66D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nsid w:val="359B49BE"/>
    <w:multiLevelType w:val="hybridMultilevel"/>
    <w:tmpl w:val="A68615A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90542AC"/>
    <w:multiLevelType w:val="hybridMultilevel"/>
    <w:tmpl w:val="18D612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nsid w:val="61775AA3"/>
    <w:multiLevelType w:val="hybridMultilevel"/>
    <w:tmpl w:val="AC54A4C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6D1E678F"/>
    <w:multiLevelType w:val="hybridMultilevel"/>
    <w:tmpl w:val="6C183AD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6DD26045"/>
    <w:multiLevelType w:val="hybridMultilevel"/>
    <w:tmpl w:val="F49CBB2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F862635"/>
    <w:multiLevelType w:val="hybridMultilevel"/>
    <w:tmpl w:val="1612349E"/>
    <w:lvl w:ilvl="0">
      <w:start w:val="1"/>
      <w:numFmt w:val="lowerRoman"/>
      <w:lvlText w:val="(%1)"/>
      <w:lvlJc w:val="left"/>
      <w:pPr>
        <w:ind w:left="1080" w:hanging="360"/>
      </w:pPr>
      <w:rPr>
        <w:rFonts w:ascii="Arial" w:eastAsia="Calibri" w:hAnsi="Arial" w:cs="Arial"/>
      </w:rPr>
    </w:lvl>
    <w:lvl w:ilvl="1">
      <w:start w:val="1"/>
      <w:numFmt w:val="bullet"/>
      <w:lvlText w:val=""/>
      <w:lvlJc w:val="left"/>
      <w:pPr>
        <w:ind w:left="1800" w:hanging="360"/>
      </w:pPr>
      <w:rPr>
        <w:rFonts w:ascii="Wingdings" w:hAnsi="Wingding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10"/>
  </w:num>
  <w:num w:numId="5">
    <w:abstractNumId w:val="4"/>
  </w:num>
  <w:num w:numId="6">
    <w:abstractNumId w:val="8"/>
  </w:num>
  <w:num w:numId="7">
    <w:abstractNumId w:val="5"/>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060C97"/>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Hyperlink">
    <w:name w:val="Hyperlink"/>
    <w:basedOn w:val="DefaultParagraphFont"/>
    <w:uiPriority w:val="99"/>
    <w:unhideWhenUsed/>
    <w:rsid w:val="00060C97"/>
    <w:rPr>
      <w:color w:val="0563C1"/>
      <w:u w:val="single"/>
    </w:rPr>
  </w:style>
  <w:style w:type="character" w:styleId="CommentReference">
    <w:name w:val="annotation reference"/>
    <w:basedOn w:val="DefaultParagraphFont"/>
    <w:uiPriority w:val="99"/>
    <w:semiHidden/>
    <w:unhideWhenUsed/>
    <w:rsid w:val="00060C97"/>
    <w:rPr>
      <w:sz w:val="16"/>
      <w:szCs w:val="16"/>
    </w:rPr>
  </w:style>
  <w:style w:type="paragraph" w:styleId="CommentText">
    <w:name w:val="annotation text"/>
    <w:basedOn w:val="Normal"/>
    <w:link w:val="CommentTextChar"/>
    <w:uiPriority w:val="99"/>
    <w:semiHidden/>
    <w:unhideWhenUsed/>
    <w:rsid w:val="00060C97"/>
    <w:pPr>
      <w:spacing w:line="240" w:lineRule="auto"/>
    </w:pPr>
    <w:rPr>
      <w:sz w:val="20"/>
      <w:szCs w:val="20"/>
    </w:rPr>
  </w:style>
  <w:style w:type="character" w:customStyle="1" w:styleId="CommentTextChar">
    <w:name w:val="Comment Text Char"/>
    <w:basedOn w:val="DefaultParagraphFont"/>
    <w:link w:val="CommentText"/>
    <w:uiPriority w:val="99"/>
    <w:semiHidden/>
    <w:rsid w:val="00060C9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60C97"/>
    <w:rPr>
      <w:b/>
      <w:bCs/>
    </w:rPr>
  </w:style>
  <w:style w:type="character" w:customStyle="1" w:styleId="CommentSubjectChar">
    <w:name w:val="Comment Subject Char"/>
    <w:basedOn w:val="CommentTextChar"/>
    <w:link w:val="CommentSubject"/>
    <w:uiPriority w:val="99"/>
    <w:semiHidden/>
    <w:rsid w:val="00060C97"/>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06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97"/>
    <w:rPr>
      <w:rFonts w:ascii="Segoe UI" w:eastAsia="Calibri" w:hAnsi="Segoe UI" w:cs="Segoe UI"/>
      <w:color w:val="000000"/>
      <w:sz w:val="18"/>
      <w:szCs w:val="18"/>
      <w:lang w:eastAsia="en-GB"/>
    </w:rPr>
  </w:style>
  <w:style w:type="paragraph" w:styleId="Revision">
    <w:name w:val="Revision"/>
    <w:hidden/>
    <w:uiPriority w:val="99"/>
    <w:semiHidden/>
    <w:rsid w:val="001C570E"/>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1F12-C27F-4C1C-92AD-026D8312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Parkinson, Anne-Marie (LEP)</cp:lastModifiedBy>
  <cp:revision>20</cp:revision>
  <dcterms:created xsi:type="dcterms:W3CDTF">2014-12-03T08:17:00Z</dcterms:created>
  <dcterms:modified xsi:type="dcterms:W3CDTF">2020-11-27T16:43:00Z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Tuesday, 8 December 2020</vt:lpwstr>
  </property>
</Properties>
</file>